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02771" w14:textId="7007B887" w:rsidR="006723B2" w:rsidRDefault="00C87D38" w:rsidP="00196BE3">
      <w:pPr>
        <w:spacing w:after="0" w:line="240" w:lineRule="auto"/>
        <w:contextualSpacing/>
        <w:jc w:val="center"/>
        <w:rPr>
          <w:rFonts w:ascii="Times New Roman" w:hAnsi="Times New Roman" w:cs="Times New Roman"/>
          <w:b/>
          <w:bCs/>
        </w:rPr>
      </w:pPr>
      <w:r w:rsidRPr="00196BE3">
        <w:rPr>
          <w:rFonts w:ascii="Times New Roman" w:hAnsi="Times New Roman" w:cs="Times New Roman"/>
          <w:b/>
          <w:bCs/>
        </w:rPr>
        <w:t>SEKOLAH TIONG HOA HWE KOAN: SEJARAH PENDIDIKAN TIONGHOA DI PASURUAN TAHUN 1904 – 1942</w:t>
      </w:r>
    </w:p>
    <w:p w14:paraId="2A5B1C52" w14:textId="77777777" w:rsidR="00196BE3" w:rsidRPr="00196BE3" w:rsidRDefault="00196BE3" w:rsidP="00196BE3">
      <w:pPr>
        <w:spacing w:after="0" w:line="240" w:lineRule="auto"/>
        <w:contextualSpacing/>
        <w:jc w:val="center"/>
        <w:rPr>
          <w:rFonts w:ascii="Times New Roman" w:hAnsi="Times New Roman" w:cs="Times New Roman"/>
          <w:b/>
          <w:bCs/>
        </w:rPr>
      </w:pPr>
    </w:p>
    <w:p w14:paraId="3C4167D1" w14:textId="236BCC6E" w:rsidR="00A25287" w:rsidRDefault="006723B2" w:rsidP="00196BE3">
      <w:pPr>
        <w:spacing w:after="0" w:line="240" w:lineRule="auto"/>
        <w:contextualSpacing/>
        <w:jc w:val="center"/>
        <w:rPr>
          <w:rFonts w:ascii="Times New Roman" w:hAnsi="Times New Roman" w:cs="Times New Roman"/>
          <w:sz w:val="22"/>
          <w:szCs w:val="22"/>
        </w:rPr>
      </w:pPr>
      <w:r w:rsidRPr="0048293E">
        <w:rPr>
          <w:rFonts w:ascii="Times New Roman" w:hAnsi="Times New Roman" w:cs="Times New Roman"/>
          <w:b/>
          <w:bCs/>
          <w:sz w:val="22"/>
          <w:szCs w:val="22"/>
        </w:rPr>
        <w:t>Bayu Alifian Fiqri</w:t>
      </w:r>
      <w:r w:rsidR="00C87D38" w:rsidRPr="0048293E">
        <w:rPr>
          <w:rFonts w:ascii="Times New Roman" w:hAnsi="Times New Roman" w:cs="Times New Roman"/>
          <w:b/>
          <w:bCs/>
          <w:sz w:val="22"/>
          <w:szCs w:val="22"/>
        </w:rPr>
        <w:br/>
      </w:r>
      <w:r w:rsidR="005637BA">
        <w:rPr>
          <w:rFonts w:ascii="Times New Roman" w:hAnsi="Times New Roman" w:cs="Times New Roman"/>
          <w:sz w:val="22"/>
          <w:szCs w:val="22"/>
        </w:rPr>
        <w:t>Jurusan Pendidikan</w:t>
      </w:r>
      <w:r w:rsidRPr="0048293E">
        <w:rPr>
          <w:rFonts w:ascii="Times New Roman" w:hAnsi="Times New Roman" w:cs="Times New Roman"/>
          <w:sz w:val="22"/>
          <w:szCs w:val="22"/>
        </w:rPr>
        <w:t xml:space="preserve"> Sejarah</w:t>
      </w:r>
      <w:r w:rsidR="00C87D38" w:rsidRPr="0048293E">
        <w:rPr>
          <w:rFonts w:ascii="Times New Roman" w:hAnsi="Times New Roman" w:cs="Times New Roman"/>
          <w:sz w:val="22"/>
          <w:szCs w:val="22"/>
        </w:rPr>
        <w:br/>
        <w:t>Fakultas Ilmu Sosial dan Ilmu Politik</w:t>
      </w:r>
      <w:r w:rsidR="00C87D38" w:rsidRPr="0048293E">
        <w:rPr>
          <w:rFonts w:ascii="Times New Roman" w:hAnsi="Times New Roman" w:cs="Times New Roman"/>
          <w:sz w:val="22"/>
          <w:szCs w:val="22"/>
        </w:rPr>
        <w:br/>
      </w:r>
      <w:r w:rsidRPr="0048293E">
        <w:rPr>
          <w:rFonts w:ascii="Times New Roman" w:hAnsi="Times New Roman" w:cs="Times New Roman"/>
          <w:sz w:val="22"/>
          <w:szCs w:val="22"/>
        </w:rPr>
        <w:t>Universitas Negeri Surabaya</w:t>
      </w:r>
      <w:r w:rsidR="00C87D38" w:rsidRPr="0048293E">
        <w:rPr>
          <w:rFonts w:ascii="Times New Roman" w:hAnsi="Times New Roman" w:cs="Times New Roman"/>
          <w:sz w:val="22"/>
          <w:szCs w:val="22"/>
        </w:rPr>
        <w:br/>
        <w:t>Email:</w:t>
      </w:r>
      <w:r w:rsidRPr="0048293E">
        <w:rPr>
          <w:rFonts w:ascii="Times New Roman" w:hAnsi="Times New Roman" w:cs="Times New Roman"/>
          <w:sz w:val="22"/>
          <w:szCs w:val="22"/>
        </w:rPr>
        <w:t xml:space="preserve"> </w:t>
      </w:r>
      <w:hyperlink r:id="rId8" w:history="1">
        <w:r w:rsidR="00A25287" w:rsidRPr="001E41D1">
          <w:rPr>
            <w:rStyle w:val="Hyperlink"/>
            <w:rFonts w:ascii="Times New Roman" w:hAnsi="Times New Roman" w:cs="Times New Roman"/>
            <w:sz w:val="22"/>
            <w:szCs w:val="22"/>
          </w:rPr>
          <w:t>bayualifian.21053@mhs.unesa.ac.id</w:t>
        </w:r>
      </w:hyperlink>
      <w:r w:rsidR="00A25287">
        <w:rPr>
          <w:rFonts w:ascii="Times New Roman" w:hAnsi="Times New Roman" w:cs="Times New Roman"/>
          <w:sz w:val="22"/>
          <w:szCs w:val="22"/>
        </w:rPr>
        <w:t xml:space="preserve"> </w:t>
      </w:r>
    </w:p>
    <w:p w14:paraId="13FBEFB6" w14:textId="77777777" w:rsidR="00196BE3" w:rsidRPr="0048293E" w:rsidRDefault="00196BE3" w:rsidP="00196BE3">
      <w:pPr>
        <w:spacing w:after="0" w:line="240" w:lineRule="auto"/>
        <w:contextualSpacing/>
        <w:jc w:val="center"/>
        <w:rPr>
          <w:rFonts w:ascii="Times New Roman" w:hAnsi="Times New Roman" w:cs="Times New Roman"/>
          <w:sz w:val="22"/>
          <w:szCs w:val="22"/>
        </w:rPr>
      </w:pPr>
    </w:p>
    <w:p w14:paraId="08463782" w14:textId="4327D942" w:rsidR="00C87D38" w:rsidRPr="0048293E" w:rsidRDefault="00C87D38" w:rsidP="00196BE3">
      <w:pPr>
        <w:spacing w:after="0" w:line="240" w:lineRule="auto"/>
        <w:contextualSpacing/>
        <w:jc w:val="center"/>
        <w:rPr>
          <w:rFonts w:ascii="Times New Roman" w:hAnsi="Times New Roman" w:cs="Times New Roman"/>
          <w:sz w:val="22"/>
          <w:szCs w:val="22"/>
        </w:rPr>
      </w:pPr>
      <w:r w:rsidRPr="0048293E">
        <w:rPr>
          <w:rFonts w:ascii="Times New Roman" w:hAnsi="Times New Roman" w:cs="Times New Roman"/>
          <w:b/>
          <w:bCs/>
          <w:sz w:val="22"/>
          <w:szCs w:val="22"/>
        </w:rPr>
        <w:t>Wisnu</w:t>
      </w:r>
      <w:r w:rsidRPr="0048293E">
        <w:rPr>
          <w:rFonts w:ascii="Times New Roman" w:hAnsi="Times New Roman" w:cs="Times New Roman"/>
          <w:b/>
          <w:bCs/>
          <w:sz w:val="22"/>
          <w:szCs w:val="22"/>
        </w:rPr>
        <w:br/>
      </w:r>
      <w:r w:rsidRPr="0048293E">
        <w:rPr>
          <w:rFonts w:ascii="Times New Roman" w:hAnsi="Times New Roman" w:cs="Times New Roman"/>
          <w:sz w:val="22"/>
          <w:szCs w:val="22"/>
        </w:rPr>
        <w:t xml:space="preserve">S1 Jurusan Pendidikan Sejarah, Fakultas Ilmu Sosial dan Ilmu Politik </w:t>
      </w:r>
      <w:r w:rsidRPr="0048293E">
        <w:rPr>
          <w:rFonts w:ascii="Times New Roman" w:hAnsi="Times New Roman" w:cs="Times New Roman"/>
          <w:sz w:val="22"/>
          <w:szCs w:val="22"/>
        </w:rPr>
        <w:br/>
        <w:t xml:space="preserve">Universitas Negeri Surabaya </w:t>
      </w:r>
      <w:r w:rsidRPr="0048293E">
        <w:rPr>
          <w:rFonts w:ascii="Times New Roman" w:hAnsi="Times New Roman" w:cs="Times New Roman"/>
          <w:sz w:val="22"/>
          <w:szCs w:val="22"/>
        </w:rPr>
        <w:br/>
        <w:t xml:space="preserve">Email: </w:t>
      </w:r>
      <w:hyperlink r:id="rId9" w:history="1">
        <w:r w:rsidRPr="0048293E">
          <w:rPr>
            <w:rStyle w:val="Hyperlink"/>
            <w:rFonts w:ascii="Times New Roman" w:hAnsi="Times New Roman" w:cs="Times New Roman"/>
            <w:sz w:val="22"/>
            <w:szCs w:val="22"/>
          </w:rPr>
          <w:t>wisnu@unesa.ac.id</w:t>
        </w:r>
      </w:hyperlink>
    </w:p>
    <w:p w14:paraId="12911B35" w14:textId="082517DE" w:rsidR="006723B2" w:rsidRPr="0048293E" w:rsidRDefault="006723B2" w:rsidP="00196BE3">
      <w:pPr>
        <w:spacing w:after="0" w:line="240" w:lineRule="auto"/>
        <w:contextualSpacing/>
        <w:jc w:val="center"/>
        <w:rPr>
          <w:rFonts w:ascii="Times New Roman" w:hAnsi="Times New Roman" w:cs="Times New Roman"/>
          <w:sz w:val="22"/>
          <w:szCs w:val="22"/>
        </w:rPr>
      </w:pPr>
    </w:p>
    <w:p w14:paraId="63CD76BA" w14:textId="35493B39" w:rsidR="006723B2" w:rsidRPr="00196BE3" w:rsidRDefault="006723B2" w:rsidP="00196BE3">
      <w:pPr>
        <w:spacing w:after="0" w:line="240" w:lineRule="auto"/>
        <w:contextualSpacing/>
        <w:jc w:val="center"/>
        <w:rPr>
          <w:rFonts w:ascii="Times New Roman" w:hAnsi="Times New Roman" w:cs="Times New Roman"/>
          <w:b/>
          <w:bCs/>
          <w:sz w:val="20"/>
          <w:szCs w:val="20"/>
        </w:rPr>
      </w:pPr>
      <w:r w:rsidRPr="00196BE3">
        <w:rPr>
          <w:rFonts w:ascii="Times New Roman" w:hAnsi="Times New Roman" w:cs="Times New Roman"/>
          <w:b/>
          <w:bCs/>
          <w:sz w:val="20"/>
          <w:szCs w:val="20"/>
        </w:rPr>
        <w:t>Abstrak</w:t>
      </w:r>
    </w:p>
    <w:p w14:paraId="4F6BEEB6" w14:textId="7535407D" w:rsidR="00C87D38" w:rsidRPr="00196BE3" w:rsidRDefault="00C41DFF" w:rsidP="00196BE3">
      <w:pPr>
        <w:spacing w:after="0" w:line="240" w:lineRule="auto"/>
        <w:ind w:firstLine="720"/>
        <w:contextualSpacing/>
        <w:jc w:val="both"/>
        <w:rPr>
          <w:rFonts w:ascii="Times New Roman" w:hAnsi="Times New Roman" w:cs="Times New Roman"/>
          <w:sz w:val="20"/>
          <w:szCs w:val="20"/>
        </w:rPr>
      </w:pPr>
      <w:r>
        <w:rPr>
          <w:rFonts w:ascii="Times New Roman" w:hAnsi="Times New Roman" w:cs="Times New Roman"/>
          <w:sz w:val="20"/>
          <w:szCs w:val="20"/>
        </w:rPr>
        <w:t>Penelitian</w:t>
      </w:r>
      <w:r w:rsidR="00C87D38" w:rsidRPr="00196BE3">
        <w:rPr>
          <w:rFonts w:ascii="Times New Roman" w:hAnsi="Times New Roman" w:cs="Times New Roman"/>
          <w:sz w:val="20"/>
          <w:szCs w:val="20"/>
        </w:rPr>
        <w:t xml:space="preserve"> ini membahas tentang sejarah sekolah Tiong Hoa Hwee Koan (THHK) di Pasuruan pada periode 1904–1942 sebagai respon masyarakat Tionghoa lokal terhadap keterbatasan akses pendidikan formal bagi etnis mereka di bawah kebijakan diskriminatif pemerintah kolonial Belanda. Hal ini disebabkan pendidikan di era tersebut hanya eksklusif bagi anak-anak Belanda. THHK yang awalnya pada tanggal 17 Maret 1900 di Batavia. Bertujuan untuk melestarikan kebudayaan serta tradisi Tionghoa dan mengembangkan ilmu pengetahuan, 4 tahun kemudian tepatnya pada 3 Mei 1904 sekolah THHK pasuruan dengan tujuan mengisi kekosongan lembaga pendidikan formal bagi masyarakat Tionghoa Pasuruan. Permasalahan yang dikaji dalam penelitian ini yaitu</w:t>
      </w:r>
      <w:r w:rsidR="00B07549">
        <w:rPr>
          <w:rFonts w:ascii="Times New Roman" w:hAnsi="Times New Roman" w:cs="Times New Roman"/>
          <w:sz w:val="20"/>
          <w:szCs w:val="20"/>
        </w:rPr>
        <w:t xml:space="preserve"> (1)</w:t>
      </w:r>
      <w:r w:rsidR="00C87D38" w:rsidRPr="00196BE3">
        <w:rPr>
          <w:rFonts w:ascii="Times New Roman" w:hAnsi="Times New Roman" w:cs="Times New Roman"/>
          <w:sz w:val="20"/>
          <w:szCs w:val="20"/>
        </w:rPr>
        <w:t xml:space="preserve"> </w:t>
      </w:r>
      <w:r w:rsidR="00B07549">
        <w:rPr>
          <w:rFonts w:ascii="Times New Roman" w:hAnsi="Times New Roman" w:cs="Times New Roman"/>
          <w:sz w:val="20"/>
          <w:szCs w:val="20"/>
        </w:rPr>
        <w:t>mengidentifikasi</w:t>
      </w:r>
      <w:r w:rsidR="00B07549" w:rsidRPr="00B07549">
        <w:rPr>
          <w:rFonts w:ascii="Times New Roman" w:hAnsi="Times New Roman" w:cs="Times New Roman"/>
          <w:sz w:val="20"/>
          <w:szCs w:val="20"/>
        </w:rPr>
        <w:t xml:space="preserve"> faktor yang melatarbelakangi pendirian</w:t>
      </w:r>
      <w:r w:rsidR="00B07549" w:rsidRPr="00B07549">
        <w:rPr>
          <w:rFonts w:ascii="Times New Roman" w:hAnsi="Times New Roman" w:cs="Times New Roman"/>
          <w:sz w:val="20"/>
          <w:szCs w:val="20"/>
          <w:lang w:val="en-US"/>
        </w:rPr>
        <w:t xml:space="preserve"> THHK di kota Pasuruan</w:t>
      </w:r>
      <w:r w:rsidR="00B07549">
        <w:rPr>
          <w:rFonts w:ascii="Times New Roman" w:hAnsi="Times New Roman" w:cs="Times New Roman"/>
          <w:sz w:val="20"/>
          <w:szCs w:val="20"/>
          <w:lang w:val="en-US"/>
        </w:rPr>
        <w:t xml:space="preserve">, (2) </w:t>
      </w:r>
      <w:r w:rsidR="00B07549" w:rsidRPr="00B07549">
        <w:rPr>
          <w:rFonts w:ascii="Times New Roman" w:hAnsi="Times New Roman" w:cs="Times New Roman"/>
          <w:sz w:val="20"/>
          <w:szCs w:val="20"/>
        </w:rPr>
        <w:t>menjelaskan bagaimana sejarah didirikannya pendirian Sekolah THHK di Pasuruan</w:t>
      </w:r>
      <w:r w:rsidR="00B07549">
        <w:rPr>
          <w:rFonts w:ascii="Times New Roman" w:hAnsi="Times New Roman" w:cs="Times New Roman"/>
          <w:sz w:val="20"/>
          <w:szCs w:val="20"/>
        </w:rPr>
        <w:t>, (3) mendeskripsikan</w:t>
      </w:r>
      <w:r w:rsidR="00B07549" w:rsidRPr="00B07549">
        <w:rPr>
          <w:rFonts w:ascii="Times New Roman" w:hAnsi="Times New Roman" w:cs="Times New Roman"/>
          <w:sz w:val="20"/>
          <w:szCs w:val="20"/>
        </w:rPr>
        <w:t xml:space="preserve"> usaha yang dilakukan pengurus sekolah THHK dalam menghadapi krisis keuangan yang terjadi pada 1929 hingga terpaksa vakum pada 1942</w:t>
      </w:r>
      <w:r w:rsidR="00B07549">
        <w:rPr>
          <w:rFonts w:ascii="Times New Roman" w:hAnsi="Times New Roman" w:cs="Times New Roman"/>
          <w:sz w:val="20"/>
          <w:szCs w:val="20"/>
        </w:rPr>
        <w:t xml:space="preserve">. </w:t>
      </w:r>
      <w:r w:rsidR="00C87D38" w:rsidRPr="00196BE3">
        <w:rPr>
          <w:rFonts w:ascii="Times New Roman" w:hAnsi="Times New Roman" w:cs="Times New Roman"/>
          <w:sz w:val="20"/>
          <w:szCs w:val="20"/>
        </w:rPr>
        <w:t>Penelitian ini menggunakan metode sejarah yang terdiri dari empat tahap yaitu heuristik, kritik, interpretasi terhadap data-data yang didapat, serta historiografi. Hasil penelitian menunjukkan bahwa pendirian Sekolah THHK di Pasuruan diprakarsai oleh kedatangan Kang Youwei, ke Pasuruan pada tahun 1903 di Klenteng Tjoe Tik Kiong ia menyerukan pentingnya pendidikan terstruktur untuk menjaga kebudayaan Tionghoa di tanah perantauan. Dampak adanya sekolah THHK ditinjau dari aspek sosial budaya yaitu sekolah ini menjadi sarana pemersatu bagi para warga Tionghoa perantauan di Pasuruan sehingga bisa berkumpul dan menjunjung adat istiadat negeri asal mereka.</w:t>
      </w:r>
    </w:p>
    <w:p w14:paraId="2AA1AE21" w14:textId="7AB19AE6" w:rsidR="006723B2" w:rsidRPr="00196BE3" w:rsidRDefault="00C87D38" w:rsidP="00196BE3">
      <w:pPr>
        <w:spacing w:after="0" w:line="240" w:lineRule="auto"/>
        <w:contextualSpacing/>
        <w:jc w:val="both"/>
        <w:rPr>
          <w:rFonts w:ascii="Times New Roman" w:hAnsi="Times New Roman" w:cs="Times New Roman"/>
          <w:sz w:val="20"/>
          <w:szCs w:val="20"/>
        </w:rPr>
      </w:pPr>
      <w:r w:rsidRPr="00196BE3">
        <w:rPr>
          <w:rFonts w:ascii="Times New Roman" w:hAnsi="Times New Roman" w:cs="Times New Roman"/>
          <w:b/>
          <w:bCs/>
          <w:sz w:val="20"/>
          <w:szCs w:val="20"/>
        </w:rPr>
        <w:t>Kata Kunci</w:t>
      </w:r>
      <w:r w:rsidRPr="00196BE3">
        <w:rPr>
          <w:rFonts w:ascii="Times New Roman" w:hAnsi="Times New Roman" w:cs="Times New Roman"/>
          <w:sz w:val="20"/>
          <w:szCs w:val="20"/>
        </w:rPr>
        <w:t xml:space="preserve"> : Tiong Hwa Hwe Koan, Pasuruan, Sekolah, Pendidikan</w:t>
      </w:r>
    </w:p>
    <w:p w14:paraId="50A4475D" w14:textId="77777777" w:rsidR="00C87D38" w:rsidRPr="00196BE3" w:rsidRDefault="00C87D38" w:rsidP="00196BE3">
      <w:pPr>
        <w:spacing w:after="0" w:line="240" w:lineRule="auto"/>
        <w:contextualSpacing/>
        <w:jc w:val="both"/>
        <w:rPr>
          <w:rFonts w:ascii="Times New Roman" w:hAnsi="Times New Roman" w:cs="Times New Roman"/>
          <w:sz w:val="20"/>
          <w:szCs w:val="20"/>
        </w:rPr>
      </w:pPr>
    </w:p>
    <w:p w14:paraId="17F5D2A6" w14:textId="49AA3347" w:rsidR="00C87D38" w:rsidRPr="00196BE3" w:rsidRDefault="00C87D38" w:rsidP="00196BE3">
      <w:pPr>
        <w:spacing w:after="0" w:line="240" w:lineRule="auto"/>
        <w:contextualSpacing/>
        <w:jc w:val="center"/>
        <w:rPr>
          <w:rFonts w:ascii="Times New Roman" w:hAnsi="Times New Roman" w:cs="Times New Roman"/>
          <w:b/>
          <w:bCs/>
          <w:i/>
          <w:iCs/>
          <w:sz w:val="20"/>
          <w:szCs w:val="20"/>
        </w:rPr>
      </w:pPr>
      <w:r w:rsidRPr="00196BE3">
        <w:rPr>
          <w:rFonts w:ascii="Times New Roman" w:hAnsi="Times New Roman" w:cs="Times New Roman"/>
          <w:b/>
          <w:bCs/>
          <w:i/>
          <w:iCs/>
          <w:sz w:val="20"/>
          <w:szCs w:val="20"/>
        </w:rPr>
        <w:t>Abstract</w:t>
      </w:r>
    </w:p>
    <w:p w14:paraId="54AC6D18" w14:textId="2EEA2F85" w:rsidR="00C87D38" w:rsidRPr="00196BE3" w:rsidRDefault="00C87D38" w:rsidP="00196BE3">
      <w:pPr>
        <w:spacing w:after="0" w:line="240" w:lineRule="auto"/>
        <w:ind w:firstLine="720"/>
        <w:contextualSpacing/>
        <w:jc w:val="both"/>
        <w:rPr>
          <w:rFonts w:ascii="Times New Roman" w:hAnsi="Times New Roman" w:cs="Times New Roman"/>
          <w:i/>
          <w:iCs/>
          <w:sz w:val="20"/>
          <w:szCs w:val="20"/>
        </w:rPr>
      </w:pPr>
      <w:r w:rsidRPr="00196BE3">
        <w:rPr>
          <w:rFonts w:ascii="Times New Roman" w:hAnsi="Times New Roman" w:cs="Times New Roman"/>
          <w:i/>
          <w:iCs/>
          <w:sz w:val="20"/>
          <w:szCs w:val="20"/>
        </w:rPr>
        <w:t xml:space="preserve">This </w:t>
      </w:r>
      <w:r w:rsidR="00C41DFF">
        <w:rPr>
          <w:rFonts w:ascii="Times New Roman" w:hAnsi="Times New Roman" w:cs="Times New Roman"/>
          <w:i/>
          <w:iCs/>
          <w:sz w:val="20"/>
          <w:szCs w:val="20"/>
        </w:rPr>
        <w:t>study</w:t>
      </w:r>
      <w:r w:rsidRPr="00196BE3">
        <w:rPr>
          <w:rFonts w:ascii="Times New Roman" w:hAnsi="Times New Roman" w:cs="Times New Roman"/>
          <w:i/>
          <w:iCs/>
          <w:sz w:val="20"/>
          <w:szCs w:val="20"/>
        </w:rPr>
        <w:t xml:space="preserve"> discusses the history of the Tiong Hoa Hwee Koan (THHK) school in Pasuruan during the 1904–1942 period, as a response by the local Chinese community to the limited access to formal education for their ethnicity under the discriminatory policies of the Dutch colonial government. This limitation arose because education during that era was exclusive to Dutch children. THHK was originally founded on March 17, 1900, in Batavia with the aim of preserving Chinese culture and traditions as well as developing knowledge. Four years later, precisely on May 3, 1904, the THHK Pasuruan school was established to fill the void of formal educational institutions for the Chinese community in Pasuruan. The research questions examined in this study are, </w:t>
      </w:r>
      <w:r w:rsidR="00B07549" w:rsidRPr="00B07549">
        <w:rPr>
          <w:rFonts w:ascii="Times New Roman" w:hAnsi="Times New Roman" w:cs="Times New Roman"/>
          <w:i/>
          <w:iCs/>
          <w:sz w:val="20"/>
          <w:szCs w:val="20"/>
        </w:rPr>
        <w:t>(1) to identify the background factors behind the establishment of THHK in the city of Pasuruan, (2) to explain the history of the establishment of the THHK School in Pasuruan, and (3) to describe the efforts made by the THHK school administrators in dealing with the financial crisis that occurred in 1929 until it was forced to go on hiatus in 1942.</w:t>
      </w:r>
      <w:r w:rsidR="00B07549">
        <w:rPr>
          <w:rFonts w:ascii="Times New Roman" w:hAnsi="Times New Roman" w:cs="Times New Roman"/>
          <w:i/>
          <w:iCs/>
          <w:sz w:val="20"/>
          <w:szCs w:val="20"/>
        </w:rPr>
        <w:t xml:space="preserve"> </w:t>
      </w:r>
      <w:r w:rsidRPr="00196BE3">
        <w:rPr>
          <w:rFonts w:ascii="Times New Roman" w:hAnsi="Times New Roman" w:cs="Times New Roman"/>
          <w:i/>
          <w:iCs/>
          <w:sz w:val="20"/>
          <w:szCs w:val="20"/>
        </w:rPr>
        <w:t>This study utilizes the historical method, which consists of four stages: heuristics, criticism, interpretation of the obtained data, and historiography. The results of the study indicate that the establishment of the THHK School in Pasuruan was initiated by the arrival of Kang Youwei in Pasuruan in 1903. At the Tjoe Tik Kiong Temple, he called for the importance of structured education to preserve Chinese culture in the diaspora. From a socio-cultural perspective, the impact of the THHK school was that it served as a unifying medium for the Chinese diaspora in Pasuruan, allowing them to gather and uphold the customs of their ancestral homeland.</w:t>
      </w:r>
      <w:r w:rsidR="00BD7A72" w:rsidRPr="00196BE3">
        <w:rPr>
          <w:noProof/>
          <w:sz w:val="20"/>
          <w:szCs w:val="20"/>
        </w:rPr>
        <w:t xml:space="preserve"> </w:t>
      </w:r>
    </w:p>
    <w:p w14:paraId="03610A2B" w14:textId="54F09D42" w:rsidR="007825A3" w:rsidRDefault="00C87D38" w:rsidP="00196BE3">
      <w:pPr>
        <w:spacing w:after="0" w:line="240" w:lineRule="auto"/>
        <w:contextualSpacing/>
        <w:jc w:val="both"/>
        <w:rPr>
          <w:rFonts w:ascii="Times New Roman" w:hAnsi="Times New Roman" w:cs="Times New Roman"/>
          <w:i/>
          <w:iCs/>
          <w:sz w:val="20"/>
          <w:szCs w:val="20"/>
        </w:rPr>
      </w:pPr>
      <w:r w:rsidRPr="00196BE3">
        <w:rPr>
          <w:rFonts w:ascii="Times New Roman" w:hAnsi="Times New Roman" w:cs="Times New Roman"/>
          <w:b/>
          <w:bCs/>
          <w:i/>
          <w:iCs/>
          <w:sz w:val="20"/>
          <w:szCs w:val="20"/>
        </w:rPr>
        <w:t>Keyword</w:t>
      </w:r>
      <w:r w:rsidRPr="00196BE3">
        <w:rPr>
          <w:rFonts w:ascii="Times New Roman" w:hAnsi="Times New Roman" w:cs="Times New Roman"/>
          <w:i/>
          <w:iCs/>
          <w:sz w:val="20"/>
          <w:szCs w:val="20"/>
        </w:rPr>
        <w:t xml:space="preserve"> : Tiong Hwa Hwe Koan, Pasuruan, School, Education</w:t>
      </w:r>
    </w:p>
    <w:p w14:paraId="2DCDC671" w14:textId="77777777" w:rsidR="007825A3" w:rsidRDefault="007825A3">
      <w:pPr>
        <w:rPr>
          <w:rFonts w:ascii="Times New Roman" w:hAnsi="Times New Roman" w:cs="Times New Roman"/>
          <w:i/>
          <w:iCs/>
          <w:sz w:val="20"/>
          <w:szCs w:val="20"/>
        </w:rPr>
      </w:pPr>
      <w:r>
        <w:rPr>
          <w:rFonts w:ascii="Times New Roman" w:hAnsi="Times New Roman" w:cs="Times New Roman"/>
          <w:i/>
          <w:iCs/>
          <w:sz w:val="20"/>
          <w:szCs w:val="20"/>
        </w:rPr>
        <w:br w:type="page"/>
      </w:r>
    </w:p>
    <w:p w14:paraId="05CF313B" w14:textId="17CC9566" w:rsidR="00C87D38" w:rsidRPr="00196BE3" w:rsidRDefault="00C87D38" w:rsidP="00196BE3">
      <w:pPr>
        <w:spacing w:after="0" w:line="240" w:lineRule="auto"/>
        <w:contextualSpacing/>
        <w:jc w:val="both"/>
        <w:rPr>
          <w:rFonts w:ascii="Times New Roman" w:hAnsi="Times New Roman" w:cs="Times New Roman"/>
          <w:i/>
          <w:iCs/>
          <w:sz w:val="20"/>
          <w:szCs w:val="20"/>
        </w:rPr>
      </w:pPr>
    </w:p>
    <w:p w14:paraId="61F979CE" w14:textId="204E8AE0" w:rsidR="00C87D38" w:rsidRPr="0048293E" w:rsidRDefault="00C87D38" w:rsidP="00196BE3">
      <w:pPr>
        <w:spacing w:after="0" w:line="240" w:lineRule="auto"/>
        <w:contextualSpacing/>
        <w:jc w:val="both"/>
        <w:rPr>
          <w:rFonts w:ascii="Times New Roman" w:hAnsi="Times New Roman" w:cs="Times New Roman"/>
          <w:b/>
          <w:bCs/>
          <w:sz w:val="22"/>
          <w:szCs w:val="22"/>
        </w:rPr>
        <w:sectPr w:rsidR="00C87D38" w:rsidRPr="0048293E" w:rsidSect="00196BE3">
          <w:pgSz w:w="11906" w:h="16838"/>
          <w:pgMar w:top="1418" w:right="1134" w:bottom="1418" w:left="1134" w:header="709" w:footer="709" w:gutter="0"/>
          <w:cols w:space="708"/>
          <w:docGrid w:linePitch="360"/>
        </w:sectPr>
      </w:pPr>
    </w:p>
    <w:p w14:paraId="1042A2D2" w14:textId="189123FD" w:rsidR="00FC2F93" w:rsidRPr="00196BE3" w:rsidRDefault="00FC2F93" w:rsidP="007825A3">
      <w:pPr>
        <w:spacing w:after="0" w:line="240" w:lineRule="auto"/>
        <w:contextualSpacing/>
        <w:jc w:val="both"/>
        <w:rPr>
          <w:rFonts w:ascii="Times New Roman" w:hAnsi="Times New Roman" w:cs="Times New Roman"/>
          <w:b/>
          <w:bCs/>
          <w:sz w:val="20"/>
          <w:szCs w:val="20"/>
        </w:rPr>
      </w:pPr>
      <w:r w:rsidRPr="00196BE3">
        <w:rPr>
          <w:rFonts w:ascii="Times New Roman" w:hAnsi="Times New Roman" w:cs="Times New Roman"/>
          <w:b/>
          <w:bCs/>
          <w:sz w:val="20"/>
          <w:szCs w:val="20"/>
        </w:rPr>
        <w:t>PENDAHULUAN</w:t>
      </w:r>
    </w:p>
    <w:p w14:paraId="2F1F1242" w14:textId="794802F5" w:rsidR="008C54D4" w:rsidRPr="00196BE3" w:rsidRDefault="008C54D4"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Sistem pendidikan yang kita miliki sekarang merupakan hasil perkembangan pendidikan yang tumbuh berdasarkan pengalaman bangsa Indonesia pada masa lalu. Lahirnya suatu sistem pendidikan didorong oleh kebutuhan praktis dan dipengaruhi oleh kondisi sosial, ekonomi, dan politik</w:t>
      </w:r>
      <w:r w:rsidR="00EA50F1">
        <w:rPr>
          <w:rFonts w:ascii="Times New Roman" w:hAnsi="Times New Roman" w:cs="Times New Roman"/>
          <w:sz w:val="20"/>
          <w:szCs w:val="20"/>
        </w:rPr>
        <w:t xml:space="preserve"> </w:t>
      </w:r>
      <w:r w:rsidR="00EA50F1" w:rsidRPr="004E0CBB">
        <w:rPr>
          <w:rFonts w:ascii="Times New Roman" w:hAnsi="Times New Roman" w:cs="Times New Roman"/>
          <w:noProof/>
          <w:sz w:val="20"/>
          <w:szCs w:val="20"/>
        </w:rPr>
        <w:t>Nasution</w:t>
      </w:r>
      <w:r w:rsidR="00EA50F1">
        <w:rPr>
          <w:rFonts w:ascii="Times New Roman" w:hAnsi="Times New Roman" w:cs="Times New Roman"/>
          <w:noProof/>
          <w:sz w:val="20"/>
          <w:szCs w:val="20"/>
        </w:rPr>
        <w:t xml:space="preserve"> </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{"citationItems":[{"id":"ITEM-1","itemData":{"author":[{"dropping-particle":"","family":"Nasution","given":"Sati","non-dropping-particle":"","parse-names":false,"suffix":""}],"id":"ITEM-1","issued":{"date-parts":[["1983"]]},"publisher":"PT Bumi Aksara","publisher-place":"Jakarta","title":"Sejarah Pendidikan Indonesia","type":"book"},"uris":["http://www.mendeley.com/documents/?uuid=c305d77b-3051-4e0d-9e40-45d51053b429"]}],"mendeley":{"formattedCitation":"(Nasution, 1983)","plainTextFormattedCitation":"(Nasution, 1983)","previouslyFormattedCitation":"(Nasution, 1983)"},"properties":{"noteIndex":0},"schema":"https://github.com/citation-style-language/schema/raw/master/csl-citation.json"}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noProof/>
          <w:sz w:val="20"/>
          <w:szCs w:val="20"/>
        </w:rPr>
        <w:t>(1983)</w:t>
      </w:r>
      <w:r w:rsidR="004E0CBB">
        <w:rPr>
          <w:rStyle w:val="FootnoteReference"/>
          <w:rFonts w:ascii="Times New Roman" w:hAnsi="Times New Roman" w:cs="Times New Roman"/>
          <w:sz w:val="20"/>
          <w:szCs w:val="20"/>
        </w:rPr>
        <w:fldChar w:fldCharType="end"/>
      </w:r>
      <w:r w:rsidR="00EA50F1">
        <w:rPr>
          <w:rFonts w:ascii="Times New Roman" w:hAnsi="Times New Roman" w:cs="Times New Roman"/>
          <w:sz w:val="20"/>
          <w:szCs w:val="20"/>
        </w:rPr>
        <w:t>.</w:t>
      </w:r>
      <w:r w:rsidRPr="00196BE3">
        <w:rPr>
          <w:rFonts w:ascii="Times New Roman" w:hAnsi="Times New Roman" w:cs="Times New Roman"/>
          <w:sz w:val="20"/>
          <w:szCs w:val="20"/>
        </w:rPr>
        <w:t xml:space="preserve"> Pada akhir abad</w:t>
      </w:r>
      <w:r w:rsidR="00EA50F1">
        <w:rPr>
          <w:rFonts w:ascii="Times New Roman" w:hAnsi="Times New Roman" w:cs="Times New Roman"/>
          <w:sz w:val="20"/>
          <w:szCs w:val="20"/>
        </w:rPr>
        <w:t xml:space="preserve"> </w:t>
      </w:r>
      <w:r w:rsidRPr="00196BE3">
        <w:rPr>
          <w:rFonts w:ascii="Times New Roman" w:hAnsi="Times New Roman" w:cs="Times New Roman"/>
          <w:sz w:val="20"/>
          <w:szCs w:val="20"/>
        </w:rPr>
        <w:t xml:space="preserve">ke-19, penyelenggaraan pendidikan yang ada masih sangat kurang dalam memenuhi kebutuhan para siswa, khususnya bagi masyarakat </w:t>
      </w:r>
      <w:r w:rsidRPr="00196BE3">
        <w:rPr>
          <w:rFonts w:ascii="Times New Roman" w:eastAsia="Aptos" w:hAnsi="Times New Roman" w:cs="Times New Roman"/>
          <w:sz w:val="20"/>
          <w:szCs w:val="20"/>
        </w:rPr>
        <w:t>Tionghoa</w:t>
      </w:r>
      <w:r w:rsidRPr="00196BE3">
        <w:rPr>
          <w:rFonts w:ascii="Times New Roman" w:hAnsi="Times New Roman" w:cs="Times New Roman"/>
          <w:sz w:val="20"/>
          <w:szCs w:val="20"/>
        </w:rPr>
        <w:t xml:space="preserve">.  Hal ini disebabkan pendidikan di era tersebut seakan eksklusif bagi anak-anak Belanda. Selain itu, sekolah hanya menerima sebagian kecil anak pribumi yang dibatasi oleh biaya tinggi, kesulitan bahasa, dan kuota penerimaan. Kondisi tersebut menjadi latar belakang pendirian sekolah </w:t>
      </w:r>
      <w:r w:rsidR="004E0CBB">
        <w:rPr>
          <w:rFonts w:ascii="Times New Roman" w:hAnsi="Times New Roman" w:cs="Times New Roman"/>
          <w:sz w:val="20"/>
          <w:szCs w:val="20"/>
        </w:rPr>
        <w:t>THHK</w:t>
      </w:r>
      <w:r w:rsidR="00EA50F1">
        <w:rPr>
          <w:rFonts w:ascii="Times New Roman" w:hAnsi="Times New Roman" w:cs="Times New Roman"/>
          <w:sz w:val="20"/>
          <w:szCs w:val="20"/>
        </w:rPr>
        <w:t xml:space="preserve"> </w:t>
      </w:r>
      <w:r w:rsidR="00EA50F1" w:rsidRPr="004E0CBB">
        <w:rPr>
          <w:rFonts w:ascii="Times New Roman" w:hAnsi="Times New Roman" w:cs="Times New Roman"/>
          <w:noProof/>
          <w:sz w:val="20"/>
          <w:szCs w:val="20"/>
        </w:rPr>
        <w:t>N</w:t>
      </w:r>
      <w:r w:rsidR="00EA50F1">
        <w:rPr>
          <w:rFonts w:ascii="Times New Roman" w:hAnsi="Times New Roman" w:cs="Times New Roman"/>
          <w:noProof/>
          <w:sz w:val="20"/>
          <w:szCs w:val="20"/>
        </w:rPr>
        <w:t>.</w:t>
      </w:r>
      <w:r w:rsidR="00EA50F1" w:rsidRPr="004E0CBB">
        <w:rPr>
          <w:rFonts w:ascii="Times New Roman" w:hAnsi="Times New Roman" w:cs="Times New Roman"/>
          <w:noProof/>
          <w:sz w:val="20"/>
          <w:szCs w:val="20"/>
        </w:rPr>
        <w:t xml:space="preserve"> Joe Lan</w:t>
      </w:r>
      <w:r w:rsidR="00B40166">
        <w:rPr>
          <w:rFonts w:ascii="Times New Roman" w:hAnsi="Times New Roman" w:cs="Times New Roman"/>
          <w:sz w:val="20"/>
          <w:szCs w:val="20"/>
        </w:rPr>
        <w:t xml:space="preserve"> </w:t>
      </w:r>
      <w:r w:rsidR="004E0CBB">
        <w:rPr>
          <w:rStyle w:val="FootnoteReference"/>
          <w:rFonts w:ascii="Times New Roman" w:hAnsi="Times New Roman" w:cs="Times New Roman"/>
          <w:sz w:val="20"/>
          <w:szCs w:val="20"/>
        </w:rPr>
        <w:fldChar w:fldCharType="begin" w:fldLock="1"/>
      </w:r>
      <w:r w:rsidR="005E22BF">
        <w:rPr>
          <w:rFonts w:ascii="Times New Roman" w:hAnsi="Times New Roman" w:cs="Times New Roman"/>
          <w:sz w:val="20"/>
          <w:szCs w:val="20"/>
        </w:rPr>
        <w:instrText>ADDIN CSL_CITATION {"citationItems":[{"id":"ITEM-1","itemData":{"author":[{"dropping-particle":"","family":"Nio Joe Lan","given":"","non-dropping-particle":"","parse-names":false,"suffix":""}],"id":"ITEM-1","issued":{"date-parts":[["1940"]]},"publisher":"THHK Batavia","publisher-place":"Batavia","title":"Riwajat 40 Taon dari Tiong Hoa Hwee Koan Batavia (1900-1939)","type":"book"},"uris":["http://www.mendeley.com/documents/?uuid=216d184f-0c58-4b36-8885-dae1c741e7f7"]}],"mendeley":{"formattedCitation":"(Nio Joe Lan, 1940)","manualFormatting":"(N. Joe Lan, 1940)","plainTextFormattedCitation":"(Nio Joe Lan, 1940)","previouslyFormattedCitation":"(Nio Joe Lan, 1940)"},"properties":{"noteIndex":0},"schema":"https://github.com/citation-style-language/schema/raw/master/csl-citation.json"}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noProof/>
          <w:sz w:val="20"/>
          <w:szCs w:val="20"/>
        </w:rPr>
        <w:t>(1940)</w:t>
      </w:r>
      <w:r w:rsidR="004E0CBB">
        <w:rPr>
          <w:rStyle w:val="FootnoteReference"/>
          <w:rFonts w:ascii="Times New Roman" w:hAnsi="Times New Roman" w:cs="Times New Roman"/>
          <w:sz w:val="20"/>
          <w:szCs w:val="20"/>
        </w:rPr>
        <w:fldChar w:fldCharType="end"/>
      </w:r>
      <w:r w:rsidR="00EA50F1">
        <w:rPr>
          <w:rStyle w:val="FootnoteReference"/>
          <w:rFonts w:ascii="Times New Roman" w:hAnsi="Times New Roman" w:cs="Times New Roman"/>
          <w:sz w:val="20"/>
          <w:szCs w:val="20"/>
          <w:vertAlign w:val="baseline"/>
        </w:rPr>
        <w:t>,</w:t>
      </w:r>
      <w:r w:rsidRPr="00196BE3">
        <w:rPr>
          <w:rFonts w:ascii="Times New Roman" w:hAnsi="Times New Roman" w:cs="Times New Roman"/>
          <w:sz w:val="20"/>
          <w:szCs w:val="20"/>
        </w:rPr>
        <w:t xml:space="preserve">  THHK yang awalnya pada tanggal 17 Maret 1900 di Batavia. Bertujuan untuk melestarikan Kebudayaan serta tradisi Tionghoa. dan mengembangkan ilmu pengetahuan. Walaupun awalnya masih belum bergerak dalam bidang pendirian sekolah</w:t>
      </w:r>
      <w:r w:rsidR="00EA50F1">
        <w:rPr>
          <w:rFonts w:ascii="Times New Roman" w:hAnsi="Times New Roman" w:cs="Times New Roman"/>
          <w:sz w:val="20"/>
          <w:szCs w:val="20"/>
        </w:rPr>
        <w:t xml:space="preserve"> </w:t>
      </w:r>
      <w:r w:rsidR="00EA50F1" w:rsidRPr="004E0CBB">
        <w:rPr>
          <w:rFonts w:ascii="Times New Roman" w:hAnsi="Times New Roman" w:cs="Times New Roman"/>
          <w:noProof/>
          <w:sz w:val="20"/>
          <w:szCs w:val="20"/>
        </w:rPr>
        <w:t>Wisnu</w:t>
      </w:r>
      <w:r w:rsidR="00EA50F1">
        <w:rPr>
          <w:rFonts w:ascii="Times New Roman" w:hAnsi="Times New Roman" w:cs="Times New Roman"/>
          <w:noProof/>
          <w:sz w:val="20"/>
          <w:szCs w:val="20"/>
        </w:rPr>
        <w:t xml:space="preserve"> </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{"citationItems":[{"id":"ITEM-1","itemData":{"author":[{"dropping-particle":"","family":"Wisnu","given":"","non-dropping-particle":"","parse-names":false,"suffix":""}],"id":"ITEM-1","issued":{"date-parts":[["2023"]]},"number-of-pages":"340","publisher":"Elex Media Komputindo","publisher-place":"Surabaya","title":"Boekhandel Tan Khoen Swie Kediri: Agen Kebudayaan Jawa 1915-1963","type":"book"},"uris":["http://www.mendeley.com/documents/?uuid=eee0f170-f83f-4f42-93c0-388e80e4aad8"]}],"mendeley":{"formattedCitation":"(Wisnu, 2023)","plainTextFormattedCitation":"(Wisnu, 2023)","previouslyFormattedCitation":"(Wisnu, 2023)"},"properties":{"noteIndex":0},"schema":"https://github.com/citation-style-language/schema/raw/master/csl-citation.json"}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noProof/>
          <w:sz w:val="20"/>
          <w:szCs w:val="20"/>
        </w:rPr>
        <w:t>(2023)</w:t>
      </w:r>
      <w:r w:rsidR="004E0CBB">
        <w:rPr>
          <w:rStyle w:val="FootnoteReference"/>
          <w:rFonts w:ascii="Times New Roman" w:hAnsi="Times New Roman" w:cs="Times New Roman"/>
          <w:sz w:val="20"/>
          <w:szCs w:val="20"/>
        </w:rPr>
        <w:fldChar w:fldCharType="end"/>
      </w:r>
      <w:r w:rsidR="00EA50F1">
        <w:rPr>
          <w:rFonts w:ascii="Times New Roman" w:hAnsi="Times New Roman" w:cs="Times New Roman"/>
          <w:sz w:val="20"/>
          <w:szCs w:val="20"/>
        </w:rPr>
        <w:t xml:space="preserve">, namun </w:t>
      </w:r>
      <w:r w:rsidRPr="00196BE3">
        <w:rPr>
          <w:rFonts w:ascii="Times New Roman" w:hAnsi="Times New Roman" w:cs="Times New Roman"/>
          <w:sz w:val="20"/>
          <w:szCs w:val="20"/>
        </w:rPr>
        <w:t>seiring berjalannya waktu, masyarakat Tionghoa mulai menyadari akan pentingnya pendidikan sehingga memanfaatkan perkumpulan THHK sebagai salah satu sarana untuk memajukan pendidikan bagi warga Tionghoa.</w:t>
      </w:r>
    </w:p>
    <w:p w14:paraId="560C3F93" w14:textId="15E0AAEE" w:rsidR="008C54D4" w:rsidRPr="00196BE3" w:rsidRDefault="008C54D4"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THHK di kota Pasuruan didirikan pada era kolonial tepatnya 3 Mei 1904 dengan tujuan mengisi kekosongan lembaga pendidikan formal. Sebab pada saat itu pemerintah kolonial Belanda hanya menyediakan 2 jenis sekolah yaitu Europeesche Lagere Schoo</w:t>
      </w:r>
      <w:r w:rsidR="005E22BF">
        <w:rPr>
          <w:rFonts w:ascii="Times New Roman" w:hAnsi="Times New Roman" w:cs="Times New Roman"/>
          <w:sz w:val="20"/>
          <w:szCs w:val="20"/>
        </w:rPr>
        <w:t>l</w:t>
      </w:r>
      <w:r w:rsidRPr="00196BE3">
        <w:rPr>
          <w:rFonts w:ascii="Times New Roman" w:hAnsi="Times New Roman" w:cs="Times New Roman"/>
          <w:sz w:val="20"/>
          <w:szCs w:val="20"/>
        </w:rPr>
        <w:t xml:space="preserve"> dan Inlandsche School. Sedangkan masyarakat Tionghoa yang ada umumnya masih menerapkan sistem pendidikan dalam bentuk kursus rumahan yang masih bersifat sangat informal. Pendidikan ini menggunakan bahasa Hokkien dengan dialek Tjiang Tjoan, di mana hanya mempelajari ilmu surat-menyurat, ilmu sastra, serta syair tradisional tiongkok. Mata pelajaran modern seperti Pengetahuan Umum dan Pendidikan Kesehatan tidak ada, hanya berfokus pada tujuan-tujuan moral seperti tata cara kebaktian, dan saling menghormati antar masyarakat.</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{"citationItems":[{"id":"ITEM-1","itemData":{"id":"ITEM-1","issued":{"date-parts":[["1954"]]},"publisher-place":"Pasuruan","title":"Buku Peringatan Ulang Tahun ke 50 THHK Pasuruan 1904 - 1954","type":"book"},"uris":["http://www.mendeley.com/documents/?uuid=d9c75b03-9e24-4ca8-ba12-c21ea03fed8c"]}],"mendeley":{"formattedCitation":"(&lt;i&gt;Buku Peringatan Ulang Tahun Ke 50 THHK Pasuruan 1904 - 1954&lt;/i&gt;, 1954)","plainTextFormattedCitation":"(Buku Peringatan Ulang Tahun Ke 50 THHK Pasuruan 1904 - 1954, 1954)","previouslyFormattedCitation":"(&lt;i&gt;Buku Peringatan Ulang Tahun Ke 50 THHK Pasuruan 1904 - 1954&lt;/i&gt;, 1954)"},"properties":{"noteIndex":0},"schema":"https://github.com/citation-style-language/schema/raw/master/csl-citation.json"}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Pr>
          <w:rStyle w:val="FootnoteReference"/>
          <w:rFonts w:ascii="Times New Roman" w:hAnsi="Times New Roman" w:cs="Times New Roman"/>
          <w:sz w:val="20"/>
          <w:szCs w:val="20"/>
        </w:rPr>
        <w:fldChar w:fldCharType="end"/>
      </w:r>
      <w:r w:rsidRPr="00196BE3">
        <w:rPr>
          <w:rFonts w:ascii="Times New Roman" w:hAnsi="Times New Roman" w:cs="Times New Roman"/>
          <w:sz w:val="20"/>
          <w:szCs w:val="20"/>
        </w:rPr>
        <w:t xml:space="preserve">  Keterbatasan dari sistem tersebut terlihat dari dua aspek utama. Pertama, kurikulumnya masih tradisional, berfokus pada sastra Tiongkok kuno tanpa menyentuh ilmu pengetahuan modern yang relevan pada masanya. Kedua, penggunaan bahasa Hokkien menunjukkan bahwa pendidikan tersebut tidak terstandarisasi dan hanya melayani kelompok tertentu, bukan menyatukan seluruh komunitas Tionghoa di Pasuruan.</w:t>
      </w:r>
    </w:p>
    <w:p w14:paraId="2EEFBCD3" w14:textId="3A5659CB" w:rsidR="008C54D4" w:rsidRPr="00196BE3" w:rsidRDefault="008C54D4"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Berdasarkan paparan sebelumnya, penelitian ini bertujuan untuk memahami secara mendalam peran THHK dalam membangun sistem di Pasuruan bukanlah sekadar membangun sekolah baru, melainkan sebuah gerakan modernisasi dalam aspek pendidikan untuk menjawab kebutuhan pendidikan yang lebih terstruktur bagi masyarakat Tionghoa</w:t>
      </w:r>
      <w:r w:rsidR="00EA50F1">
        <w:rPr>
          <w:rFonts w:ascii="Times New Roman" w:hAnsi="Times New Roman" w:cs="Times New Roman"/>
          <w:sz w:val="20"/>
          <w:szCs w:val="20"/>
        </w:rPr>
        <w:t xml:space="preserve"> di Pasuruan </w:t>
      </w:r>
      <w:r w:rsidR="00EA50F1" w:rsidRPr="004E0CBB">
        <w:rPr>
          <w:rFonts w:ascii="Times New Roman" w:hAnsi="Times New Roman" w:cs="Times New Roman"/>
          <w:bCs/>
          <w:noProof/>
          <w:sz w:val="20"/>
          <w:szCs w:val="20"/>
          <w:lang w:val="en-US"/>
        </w:rPr>
        <w:t xml:space="preserve">Andi </w:t>
      </w:r>
      <w:r w:rsidR="00EA50F1">
        <w:rPr>
          <w:rFonts w:ascii="Times New Roman" w:hAnsi="Times New Roman" w:cs="Times New Roman"/>
          <w:bCs/>
          <w:noProof/>
          <w:sz w:val="20"/>
          <w:szCs w:val="20"/>
          <w:lang w:val="en-US"/>
        </w:rPr>
        <w:t>dan</w:t>
      </w:r>
      <w:r w:rsidR="00EA50F1" w:rsidRPr="004E0CBB">
        <w:rPr>
          <w:rFonts w:ascii="Times New Roman" w:hAnsi="Times New Roman" w:cs="Times New Roman"/>
          <w:bCs/>
          <w:noProof/>
          <w:sz w:val="20"/>
          <w:szCs w:val="20"/>
          <w:lang w:val="en-US"/>
        </w:rPr>
        <w:t xml:space="preserve"> Darmayanti</w:t>
      </w:r>
      <w:r w:rsidR="004E0CBB">
        <w:rPr>
          <w:rFonts w:ascii="Times New Roman" w:hAnsi="Times New Roman" w:cs="Times New Roman"/>
          <w:sz w:val="20"/>
          <w:szCs w:val="20"/>
        </w:rPr>
        <w:t xml:space="preserve"> </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{"citationItems":[{"id":"ITEM-1","itemData":{"DOI":"10.22236/jhe.v1i1.3540","abstract":"Penelitian ini bertujuan untuk menganalisis peranan organisasi Tiong Hoa Hwee Koan (THHK) dalam bidang  pendidikan di Batavia tahun  1900-1908. Melalui pemahaman mengenai organisasi Tiong Hoa Hwee Koandalam pendidikan, diharapkan dapat menambah wawasan mengenai organisasi Tionghoa yang mempunyai peranan penting dalam perkembangan pendidikan. Metode yang digunakan yaitu metode historis. Adapun yang pertama dilakukan adalah mengumpulkan berbagai sumber dan bukti tertulis sejarah yang terkait mengenai  organisasi Tiong Hoa Hwee Koan melalui arsip-arsip, buku-buku serta artikel yang terkait dengan organisasi tersebut.Kemudian melakukan kritik sumber untuk menguji keaslian dari data-data yang diperoleh, lalu penafsiran data-data yang sudah terkumpul agar dapat ditulis menjadi suatu karya ilmiah secara sistematis dan dapat dipertanggungjawabkan. Hasil penelitian menunjukan bahwa adanya perubahan-perubahan yang terjadi setelah organisasi ini berdiri dalam bidang sosial maupun pendidikan. Organisasi Tiong Hoa Hwee Koan mengubah tata cara adat istiadat dan bahasa yang melekat pada masyarakat Tionghoa peranakan. Organisasi ini juga membuat lembaga pendidikan formal untuk anak-anak keturunan Tionghoa yang di beri nama Pa Hoa. Kesimpulan yang diperoleh berdasarkan proses interprestasi sumber ialah adanya peranan organisasi Tiong Hoa Hwee Koan terhadap pendidikan di Batavia.","author":[{"dropping-particle":"","family":"Andi","given":"Andi","non-dropping-particle":"","parse-names":false,"suffix":""},{"dropping-particle":"","family":"Darmayanti","given":"Selvia","non-dropping-particle":"","parse-names":false,"suffix":""}],"container-title":"Chronologia","id":"ITEM-1","issue":"1","issued":{"date-parts":[["2019"]]},"page":"1-11","title":"Peranan Organisasi Tiong Hoa Hwee Koan (THHK) dalam Bidang  Pendidikan di Batavia Tahun 1900-1908","type":"article-journal","volume":"1"},"uris":["http://www.mendeley.com/documents/?uuid=5bc0b722-ef10-42c5-868f-2c7ddb73dbf0"]}],"mendeley":{"formattedCitation":"(Andi &amp; Darmayanti, 2019)","plainTextFormattedCitation":"(Andi &amp; Darmayanti, 2019)","previouslyFormattedCitation":"(Andi &amp; Darmayanti, 2019)"},"properties":{"noteIndex":0},"schema":"https://github.com/citation-style-language/schema/raw/master/csl-citation.json"}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bCs/>
          <w:noProof/>
          <w:sz w:val="20"/>
          <w:szCs w:val="20"/>
          <w:lang w:val="en-US"/>
        </w:rPr>
        <w:t>(2019)</w:t>
      </w:r>
      <w:r w:rsidR="004E0CBB">
        <w:rPr>
          <w:rStyle w:val="FootnoteReference"/>
          <w:rFonts w:ascii="Times New Roman" w:hAnsi="Times New Roman" w:cs="Times New Roman"/>
          <w:sz w:val="20"/>
          <w:szCs w:val="20"/>
        </w:rPr>
        <w:fldChar w:fldCharType="end"/>
      </w:r>
      <w:r w:rsidRPr="00196BE3">
        <w:rPr>
          <w:rFonts w:ascii="Times New Roman" w:hAnsi="Times New Roman" w:cs="Times New Roman"/>
          <w:sz w:val="20"/>
          <w:szCs w:val="20"/>
        </w:rPr>
        <w:t xml:space="preserve">  di Pasuruan.  Penelitian dilakukan sebab belum ada yang penelitian yang sistematis, sampai penelitian ini dibuat penulis hanya menemukan artikel website dan artikel berita yang membahas topik ini. Dalam penelitian ini akan menguraikan faktor-faktor yang melatarbelakangi </w:t>
      </w:r>
      <w:r w:rsidRPr="00196BE3">
        <w:rPr>
          <w:rFonts w:ascii="Times New Roman" w:hAnsi="Times New Roman" w:cs="Times New Roman"/>
          <w:sz w:val="20"/>
          <w:szCs w:val="20"/>
        </w:rPr>
        <w:t>pendirian THHK, beserta upaya yang dilakukan dalam mengisi kekosongan lembaga pendidikan formal bagi masyarakat Tionghoa di tengah dominasi ELS. Lebih lanjut, penelitian ini akan menelusuri respon masyarakat terhadap adanya Sekolah THHK serta adaptasi yang dilakukan oleh THHK itu sendiri di tengah masyarakat Pasuruan yang multikultural.</w:t>
      </w:r>
    </w:p>
    <w:p w14:paraId="1D366EB1" w14:textId="7728F411" w:rsidR="006723B2" w:rsidRPr="00196BE3" w:rsidRDefault="008C54D4"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Hal ini akan menggambarkan bagaimana sebuah institusi pendidikan minoritas berinteraksi dan menyesuaikan diri dalam lingkungan yang beragam, serta implikasi sosial dari keberadaan sekolah tersebut. Selain itu, penulis akan meneliti kebijakan pemerintah kolonial terhadap kurikulum Sekolah THHK. Analisis ini akan memberikan gambaran mengenai peran pemerintah kolonial dalam mengatur, membatasi, atau bahkan memengaruhi perkembangan pendidikan bagi etnis Tionghoa. Pada akhirnya, penelitian ini juga akan mengkaji bagaimana THHK menyikapi kebijakan-kebijakan tersebut.</w:t>
      </w:r>
    </w:p>
    <w:p w14:paraId="2383A346" w14:textId="411BA647" w:rsidR="00FC2F93" w:rsidRPr="00196BE3" w:rsidRDefault="00FC2F93" w:rsidP="007825A3">
      <w:pPr>
        <w:spacing w:after="0" w:line="240" w:lineRule="auto"/>
        <w:ind w:firstLine="720"/>
        <w:contextualSpacing/>
        <w:jc w:val="both"/>
        <w:rPr>
          <w:rFonts w:ascii="Times New Roman" w:hAnsi="Times New Roman" w:cs="Times New Roman"/>
          <w:sz w:val="20"/>
          <w:szCs w:val="20"/>
        </w:rPr>
      </w:pPr>
    </w:p>
    <w:p w14:paraId="0C122440" w14:textId="001A2D3D" w:rsidR="006723B2" w:rsidRPr="00196BE3" w:rsidRDefault="0048293E" w:rsidP="007825A3">
      <w:pPr>
        <w:spacing w:after="0" w:line="240" w:lineRule="auto"/>
        <w:contextualSpacing/>
        <w:jc w:val="both"/>
        <w:rPr>
          <w:rFonts w:ascii="Times New Roman" w:hAnsi="Times New Roman" w:cs="Times New Roman"/>
          <w:b/>
          <w:bCs/>
          <w:sz w:val="20"/>
          <w:szCs w:val="20"/>
        </w:rPr>
      </w:pPr>
      <w:r w:rsidRPr="00196BE3">
        <w:rPr>
          <w:rFonts w:ascii="Times New Roman" w:hAnsi="Times New Roman" w:cs="Times New Roman"/>
          <w:b/>
          <w:bCs/>
          <w:sz w:val="20"/>
          <w:szCs w:val="20"/>
        </w:rPr>
        <w:t>METODE PENELITIAN</w:t>
      </w:r>
    </w:p>
    <w:p w14:paraId="53868EC6" w14:textId="77EBA2DD" w:rsidR="00EA50F1" w:rsidRPr="00196BE3" w:rsidRDefault="0048293E" w:rsidP="00EA50F1">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 xml:space="preserve">Penelitian ini menggunakan metode penelitian yang dirumuskan oleh Kuntowijoyo </w:t>
      </w:r>
      <w:r w:rsidR="00EA50F1">
        <w:rPr>
          <w:rFonts w:ascii="Times New Roman" w:hAnsi="Times New Roman" w:cs="Times New Roman"/>
          <w:sz w:val="20"/>
          <w:szCs w:val="20"/>
        </w:rPr>
        <w:t xml:space="preserve">(1995) </w:t>
      </w:r>
      <w:r w:rsidRPr="00196BE3">
        <w:rPr>
          <w:rFonts w:ascii="Times New Roman" w:hAnsi="Times New Roman" w:cs="Times New Roman"/>
          <w:sz w:val="20"/>
          <w:szCs w:val="20"/>
        </w:rPr>
        <w:t>proses penelitian sejarah melalui beberapa tahapan yaitu heuristik, verifikasi, interpretasi, dan historiografi</w:t>
      </w:r>
      <w:r w:rsidR="00EA50F1">
        <w:rPr>
          <w:rStyle w:val="FootnoteReference"/>
          <w:rFonts w:ascii="Times New Roman" w:hAnsi="Times New Roman" w:cs="Times New Roman"/>
          <w:sz w:val="20"/>
          <w:szCs w:val="20"/>
        </w:rPr>
        <w:fldChar w:fldCharType="begin" w:fldLock="1"/>
      </w:r>
      <w:r w:rsidR="00EA50F1">
        <w:rPr>
          <w:rFonts w:ascii="Times New Roman" w:hAnsi="Times New Roman" w:cs="Times New Roman"/>
          <w:sz w:val="20"/>
          <w:szCs w:val="20"/>
        </w:rPr>
        <w:instrText>ADDIN CSL_CITATION {"citationItems":[{"id":"ITEM-1","itemData":{"author":[{"dropping-particle":"","family":"Kuntowijoyo","given":"","non-dropping-particle":"","parse-names":false,"suffix":""}],"id":"ITEM-1","issued":{"date-parts":[["1995"]]},"number-of-pages":"190","publisher":"Tiara Wacana","publisher-place":"Yogyakarta","title":"Pengantar Ilmu Sejarah","type":"book"},"uris":["http://www.mendeley.com/documents/?uuid=14823716-97d4-4bb8-bc47-7afa7971e41a"]}],"mendeley":{"formattedCitation":"(Kuntowijoyo, 1995)","plainTextFormattedCitation":"(Kuntowijoyo, 1995)","previouslyFormattedCitation":"(Kuntowijoyo, 1995)"},"properties":{"noteIndex":0},"schema":"https://github.com/citation-style-language/schema/raw/master/csl-citation.json"}</w:instrText>
      </w:r>
      <w:r w:rsidR="00EA50F1">
        <w:rPr>
          <w:rStyle w:val="FootnoteReference"/>
          <w:rFonts w:ascii="Times New Roman" w:hAnsi="Times New Roman" w:cs="Times New Roman"/>
          <w:sz w:val="20"/>
          <w:szCs w:val="20"/>
        </w:rPr>
        <w:fldChar w:fldCharType="separate"/>
      </w:r>
      <w:r w:rsidR="00EA50F1">
        <w:rPr>
          <w:rStyle w:val="FootnoteReference"/>
          <w:rFonts w:ascii="Times New Roman" w:hAnsi="Times New Roman" w:cs="Times New Roman"/>
          <w:sz w:val="20"/>
          <w:szCs w:val="20"/>
        </w:rPr>
        <w:fldChar w:fldCharType="end"/>
      </w:r>
      <w:r w:rsidR="00EA50F1">
        <w:rPr>
          <w:rFonts w:ascii="Times New Roman" w:hAnsi="Times New Roman" w:cs="Times New Roman"/>
          <w:sz w:val="20"/>
          <w:szCs w:val="20"/>
        </w:rPr>
        <w:t>.</w:t>
      </w:r>
    </w:p>
    <w:p w14:paraId="1FDB2AFE" w14:textId="16BF637E" w:rsidR="0048293E" w:rsidRPr="00196BE3" w:rsidRDefault="0048293E"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Tahapan pertama yaitu heuristik atau pengumpulan sumber yaitu proses pencarian dan menemukan sumber-sumber sejarah baik primer maupun sekunder yang sesuai dengan jenis sejarah yang sedang diteliti. Penelusuran sumber primer diakukan dengan cara menelusuri arsip di Perpustakaan dan Kearsipan Jawa Jimur, Kearsipan dan Perpustakaan Kota Pasuruan, serta Perpustakaan Medayu Agung Surabaya, kemudian penelusuran arsip dan surat kabar secara online.</w:t>
      </w:r>
    </w:p>
    <w:p w14:paraId="360D1F60" w14:textId="5538BC71" w:rsidR="0048293E" w:rsidRPr="00196BE3" w:rsidRDefault="0048293E"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Kedua yaitu verifikasi atau kritik sumber. Dalam hal ini penulis melakukan pengujian terhadap sumber-sumber yang digunakan melalui pengujian kredibilitas dengan cara membandingkan satu sumber dengan sumber lainnya, serta mengamati waktu penulisan materi sumber untuk memastikan agar sesuai dengan batasan temporal topik penelitian yaitu pada tahun 1904 - 1942.</w:t>
      </w:r>
    </w:p>
    <w:p w14:paraId="2B62C7C7" w14:textId="59ACCCC6" w:rsidR="0048293E" w:rsidRPr="00196BE3" w:rsidRDefault="0048293E"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Selanjutnya tahapan interpretasi yaitu dengan cara menganalisis serta menafsirkan data yang ditemukan dari berbagai sumber yang telah diperoleh kemudian dihubungkan menjadi rangkaian fakta sejarah yang saling terkait hingga terbentuk alur sejarah yang sistematis. Kemudian dilanjutkan tahap terakhir historiografi yaitu penulisan sejarah secara komprehensif</w:t>
      </w:r>
      <w:r w:rsidR="00B40166">
        <w:rPr>
          <w:rFonts w:ascii="Times New Roman" w:hAnsi="Times New Roman" w:cs="Times New Roman"/>
          <w:sz w:val="20"/>
          <w:szCs w:val="20"/>
        </w:rPr>
        <w:t xml:space="preserve"> dan </w:t>
      </w:r>
      <w:r w:rsidRPr="00196BE3">
        <w:rPr>
          <w:rFonts w:ascii="Times New Roman" w:hAnsi="Times New Roman" w:cs="Times New Roman"/>
          <w:sz w:val="20"/>
          <w:szCs w:val="20"/>
        </w:rPr>
        <w:t>sistematis.</w:t>
      </w:r>
    </w:p>
    <w:p w14:paraId="115159AA" w14:textId="77777777" w:rsidR="00FC2F93" w:rsidRPr="00196BE3" w:rsidRDefault="00FC2F93" w:rsidP="007825A3">
      <w:pPr>
        <w:spacing w:after="0" w:line="240" w:lineRule="auto"/>
        <w:ind w:firstLine="720"/>
        <w:contextualSpacing/>
        <w:jc w:val="both"/>
        <w:rPr>
          <w:rFonts w:ascii="Times New Roman" w:hAnsi="Times New Roman" w:cs="Times New Roman"/>
          <w:sz w:val="20"/>
          <w:szCs w:val="20"/>
        </w:rPr>
      </w:pPr>
    </w:p>
    <w:p w14:paraId="6B4A9C16" w14:textId="77777777" w:rsidR="007825A3" w:rsidRDefault="0048293E" w:rsidP="007825A3">
      <w:pPr>
        <w:spacing w:after="0" w:line="240" w:lineRule="auto"/>
        <w:contextualSpacing/>
        <w:jc w:val="both"/>
        <w:rPr>
          <w:rFonts w:ascii="Times New Roman" w:hAnsi="Times New Roman" w:cs="Times New Roman"/>
          <w:b/>
          <w:bCs/>
          <w:sz w:val="20"/>
          <w:szCs w:val="20"/>
        </w:rPr>
      </w:pPr>
      <w:r w:rsidRPr="00196BE3">
        <w:rPr>
          <w:rFonts w:ascii="Times New Roman" w:hAnsi="Times New Roman" w:cs="Times New Roman"/>
          <w:b/>
          <w:bCs/>
          <w:sz w:val="20"/>
          <w:szCs w:val="20"/>
        </w:rPr>
        <w:t>HASIL DAN PEMBAHASAN</w:t>
      </w:r>
    </w:p>
    <w:p w14:paraId="18F58569" w14:textId="1B1DEDE4" w:rsidR="00FC2F93" w:rsidRPr="007825A3" w:rsidRDefault="00FC2F93">
      <w:pPr>
        <w:pStyle w:val="ListParagraph"/>
        <w:numPr>
          <w:ilvl w:val="0"/>
          <w:numId w:val="1"/>
        </w:numPr>
        <w:spacing w:after="0" w:line="240" w:lineRule="auto"/>
        <w:jc w:val="both"/>
        <w:rPr>
          <w:rFonts w:ascii="Times New Roman" w:hAnsi="Times New Roman" w:cs="Times New Roman"/>
          <w:b/>
          <w:bCs/>
          <w:sz w:val="20"/>
          <w:szCs w:val="20"/>
        </w:rPr>
      </w:pPr>
      <w:r w:rsidRPr="007825A3">
        <w:rPr>
          <w:rFonts w:ascii="Times New Roman" w:hAnsi="Times New Roman" w:cs="Times New Roman"/>
          <w:b/>
          <w:bCs/>
          <w:sz w:val="20"/>
          <w:szCs w:val="20"/>
        </w:rPr>
        <w:t>Kondisi Sosial Kota Pasuruan</w:t>
      </w:r>
    </w:p>
    <w:p w14:paraId="26E715D5" w14:textId="26095E21" w:rsidR="004E0CBB" w:rsidRDefault="00F04D5B" w:rsidP="00CE705B">
      <w:pPr>
        <w:pStyle w:val="ListParagraph"/>
        <w:spacing w:after="0" w:line="240" w:lineRule="auto"/>
        <w:ind w:left="0" w:firstLine="720"/>
        <w:jc w:val="both"/>
        <w:rPr>
          <w:rFonts w:ascii="Times New Roman" w:hAnsi="Times New Roman" w:cs="Times New Roman"/>
          <w:sz w:val="20"/>
          <w:szCs w:val="20"/>
        </w:rPr>
      </w:pPr>
      <w:r>
        <w:rPr>
          <w:rFonts w:ascii="Times New Roman" w:hAnsi="Times New Roman" w:cs="Times New Roman"/>
          <w:sz w:val="20"/>
          <w:szCs w:val="20"/>
        </w:rPr>
        <w:t xml:space="preserve">Menurut Handinoto </w:t>
      </w:r>
      <w:r>
        <w:rPr>
          <w:rStyle w:val="FootnoteReference"/>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{"citationItems":[{"id":"ITEM-1","itemData":{"author":[{"dropping-particle":"","family":"Handinoto","given":"","non-dropping-particle":"","parse-names":false,"suffix":""}],"container-title":"Simposium Nasional Arsitektur Vernakular 2","id":"ITEM-1","issued":{"date-parts":[["1931"]]},"page":"1-8","title":"Pasuruan dan Arsitektur Etnis China Akhir Abad 19 dan Awal Abad ke 20","type":"article-journal"},"uris":["http://www.mendeley.com/documents/?uuid=71a9eaa3-9094-4197-af98-14553cc5b45a"]}],"mendeley":{"formattedCitation":"(Handinoto, 1931)","plainTextFormattedCitation":"(Handinoto, 1931)","previouslyFormattedCitation":"(Handinoto, 1931)"},"properties":{"noteIndex":0},"schema":"https://github.com/citation-style-language/schema/raw/master/csl-citation.json"}</w:instrText>
      </w:r>
      <w:r>
        <w:rPr>
          <w:rStyle w:val="FootnoteReference"/>
          <w:rFonts w:ascii="Times New Roman" w:hAnsi="Times New Roman" w:cs="Times New Roman"/>
          <w:sz w:val="20"/>
          <w:szCs w:val="20"/>
        </w:rPr>
        <w:fldChar w:fldCharType="separate"/>
      </w:r>
      <w:r w:rsidRPr="004E0CBB">
        <w:rPr>
          <w:rFonts w:ascii="Times New Roman" w:hAnsi="Times New Roman" w:cs="Times New Roman"/>
          <w:bCs/>
          <w:noProof/>
          <w:sz w:val="20"/>
          <w:szCs w:val="20"/>
          <w:lang w:val="en-US"/>
        </w:rPr>
        <w:t>(1931)</w:t>
      </w:r>
      <w:r>
        <w:rPr>
          <w:rStyle w:val="FootnoteReference"/>
          <w:rFonts w:ascii="Times New Roman" w:hAnsi="Times New Roman" w:cs="Times New Roman"/>
          <w:sz w:val="20"/>
          <w:szCs w:val="20"/>
        </w:rPr>
        <w:fldChar w:fldCharType="end"/>
      </w:r>
      <w:r>
        <w:rPr>
          <w:rFonts w:ascii="Times New Roman" w:hAnsi="Times New Roman" w:cs="Times New Roman"/>
          <w:sz w:val="20"/>
          <w:szCs w:val="20"/>
        </w:rPr>
        <w:t xml:space="preserve"> </w:t>
      </w:r>
      <w:r w:rsidR="00FC2F93" w:rsidRPr="00196BE3">
        <w:rPr>
          <w:rFonts w:ascii="Times New Roman" w:hAnsi="Times New Roman" w:cs="Times New Roman"/>
          <w:sz w:val="20"/>
          <w:szCs w:val="20"/>
        </w:rPr>
        <w:t>Kota Pasuruan memiliki letak geografis yang sangat strategis berada di pesisir utara pulau Jawa dan kota ini dikenal sebagai salah satu kota dagang terbesar di pulau Jawa</w:t>
      </w:r>
      <w:r w:rsidR="00EA50F1">
        <w:rPr>
          <w:rFonts w:ascii="Times New Roman" w:hAnsi="Times New Roman" w:cs="Times New Roman"/>
          <w:sz w:val="20"/>
          <w:szCs w:val="20"/>
        </w:rPr>
        <w:t xml:space="preserve">, </w:t>
      </w:r>
      <w:r w:rsidR="00FC2F93" w:rsidRPr="00196BE3">
        <w:rPr>
          <w:rFonts w:ascii="Times New Roman" w:hAnsi="Times New Roman" w:cs="Times New Roman"/>
          <w:sz w:val="20"/>
          <w:szCs w:val="20"/>
        </w:rPr>
        <w:t xml:space="preserve">sebab Pasuruan adalah kota pusat industri gula terbesar di Hindia Belanda. Pada masa itu, gula merupakan komoditas ekspor yang sangat bernilai tinggi hingga mendapat julukan “emas putih”. Sementara itu tata kota ini dilewati oleh sungai </w:t>
      </w:r>
      <w:r w:rsidR="00FC2F93" w:rsidRPr="00196BE3">
        <w:rPr>
          <w:rFonts w:ascii="Times New Roman" w:hAnsi="Times New Roman" w:cs="Times New Roman"/>
          <w:sz w:val="20"/>
          <w:szCs w:val="20"/>
        </w:rPr>
        <w:lastRenderedPageBreak/>
        <w:t xml:space="preserve">Gembong yang terbentang dari wilayah selatan kota menuju kawasan pesisir di utara kota. Pada masa sebelum adanya jalur darat yang memadai, semua hasil bumi dari daerah pedalaman kota, diangkut dengan perahu melalui sungai tersebut. Hal ini dikarenakan daerah pelosok sekitar Pasuruan, merupakan daerah pertanian yang sangat subur. </w:t>
      </w:r>
    </w:p>
    <w:p w14:paraId="3125C521" w14:textId="48A4400C" w:rsidR="00FC2F93" w:rsidRPr="00196BE3" w:rsidRDefault="009B4811" w:rsidP="00CE705B">
      <w:pPr>
        <w:pStyle w:val="ListParagraph"/>
        <w:spacing w:after="0" w:line="240" w:lineRule="auto"/>
        <w:ind w:left="0" w:firstLine="720"/>
        <w:jc w:val="both"/>
        <w:rPr>
          <w:rFonts w:ascii="Times New Roman" w:hAnsi="Times New Roman" w:cs="Times New Roman"/>
          <w:sz w:val="20"/>
          <w:szCs w:val="20"/>
        </w:rPr>
      </w:pPr>
      <w:r w:rsidRPr="009B4811">
        <w:rPr>
          <w:rFonts w:ascii="Times New Roman" w:hAnsi="Times New Roman" w:cs="Times New Roman"/>
          <w:sz w:val="20"/>
          <w:szCs w:val="20"/>
        </w:rPr>
        <w:t xml:space="preserve">Berdasarkan </w:t>
      </w:r>
      <w:r w:rsidRPr="009B4811">
        <w:rPr>
          <w:rFonts w:ascii="Times New Roman" w:hAnsi="Times New Roman" w:cs="Times New Roman"/>
          <w:sz w:val="20"/>
          <w:szCs w:val="20"/>
        </w:rPr>
        <w:t>Staatsblad</w:t>
      </w:r>
      <w:r w:rsidRPr="009B4811">
        <w:rPr>
          <w:rFonts w:ascii="Times New Roman" w:hAnsi="Times New Roman" w:cs="Times New Roman"/>
          <w:sz w:val="20"/>
          <w:szCs w:val="20"/>
        </w:rPr>
        <w:t xml:space="preserve"> No.87 (</w:t>
      </w:r>
      <w:r w:rsidR="00CE705B" w:rsidRPr="009B4811">
        <w:rPr>
          <w:rFonts w:ascii="Times New Roman" w:hAnsi="Times New Roman" w:cs="Times New Roman"/>
          <w:sz w:val="20"/>
          <w:szCs w:val="20"/>
        </w:rPr>
        <w:t>1866</w:t>
      </w:r>
      <w:r w:rsidRPr="009B4811">
        <w:rPr>
          <w:rFonts w:ascii="Times New Roman" w:hAnsi="Times New Roman" w:cs="Times New Roman"/>
          <w:sz w:val="20"/>
          <w:szCs w:val="20"/>
        </w:rPr>
        <w:t>)</w:t>
      </w:r>
      <w:r w:rsidR="00CE705B" w:rsidRPr="009B4811">
        <w:rPr>
          <w:rFonts w:ascii="Times New Roman" w:hAnsi="Times New Roman" w:cs="Times New Roman"/>
          <w:sz w:val="20"/>
          <w:szCs w:val="20"/>
        </w:rPr>
        <w:t xml:space="preserve"> karesidenan Pasuruan dibagi menjadi 2 distrik yaitu </w:t>
      </w:r>
      <w:r w:rsidR="00FC2F93" w:rsidRPr="009B4811">
        <w:rPr>
          <w:rFonts w:ascii="Times New Roman" w:hAnsi="Times New Roman" w:cs="Times New Roman"/>
          <w:sz w:val="20"/>
          <w:szCs w:val="20"/>
        </w:rPr>
        <w:t>Distrik Grati wilayahnya meliputi hutan Rebalas</w:t>
      </w:r>
      <w:r w:rsidR="00FC2F93" w:rsidRPr="00196BE3">
        <w:rPr>
          <w:rFonts w:ascii="Times New Roman" w:hAnsi="Times New Roman" w:cs="Times New Roman"/>
          <w:sz w:val="20"/>
          <w:szCs w:val="20"/>
        </w:rPr>
        <w:t>, Sumbersuko, Plososari, Tanjung Anom, Welulang, Sangsang, dan Sebalong. Dan Distrik Tengger, yang wilayahnya mencakup hutan Banjar Ombo, Watu Lumbung, Gedung Banger, Bantjoer, dan Kronto.</w:t>
      </w:r>
      <w:r w:rsidR="00B40166">
        <w:rPr>
          <w:rFonts w:ascii="Times New Roman" w:hAnsi="Times New Roman" w:cs="Times New Roman"/>
          <w:sz w:val="20"/>
          <w:szCs w:val="20"/>
        </w:rPr>
        <w:t xml:space="preserve"> </w:t>
      </w:r>
      <w:r w:rsidR="00FC2F93" w:rsidRPr="00196BE3">
        <w:rPr>
          <w:rFonts w:ascii="Times New Roman" w:hAnsi="Times New Roman" w:cs="Times New Roman"/>
          <w:sz w:val="20"/>
          <w:szCs w:val="20"/>
        </w:rPr>
        <w:t>Selama  abad ke-19, Pasuruan telah memegang peranan penting dalam berkembangnya industri gula di Jawa tepatnya sejak 13 Agustus 1830 ketika Pemerintah Kolonial Belanda menerapkan kebijakan Cultuurstelsel,  dan salah satu komoditas penting yaitu tebu mulai diperkenalkan dan diperluas penyebarannya</w:t>
      </w:r>
      <w:r w:rsidR="00EA50F1" w:rsidRPr="00EA50F1">
        <w:rPr>
          <w:rFonts w:ascii="Times New Roman" w:hAnsi="Times New Roman" w:cs="Times New Roman"/>
          <w:bCs/>
          <w:noProof/>
          <w:sz w:val="20"/>
          <w:szCs w:val="20"/>
          <w:lang w:val="en-US"/>
        </w:rPr>
        <w:t xml:space="preserve"> </w:t>
      </w:r>
      <w:r w:rsidR="00EA50F1" w:rsidRPr="004E0CBB">
        <w:rPr>
          <w:rFonts w:ascii="Times New Roman" w:hAnsi="Times New Roman" w:cs="Times New Roman"/>
          <w:bCs/>
          <w:noProof/>
          <w:sz w:val="20"/>
          <w:szCs w:val="20"/>
          <w:lang w:val="en-US"/>
        </w:rPr>
        <w:t>Aminulloh</w:t>
      </w:r>
      <w:r w:rsidR="00B40166">
        <w:rPr>
          <w:rFonts w:ascii="Times New Roman" w:hAnsi="Times New Roman" w:cs="Times New Roman"/>
          <w:sz w:val="20"/>
          <w:szCs w:val="20"/>
        </w:rPr>
        <w:t xml:space="preserve"> </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{"citationItems":[{"id":"ITEM-1","itemData":{"author":[{"dropping-particle":"","family":"Aminulloh","given":"Muhammad","non-dropping-particle":"","parse-names":false,"suffix":""}],"container-title":"RINONTJE: Jurnal Pendidikan dan Penelitian Sejarah Volume 4, No. 2. Oktober, 2023.","id":"ITEM-1","issue":"2","issued":{"date-parts":[["2023"]]},"page":"89-106","title":"Perkebunan Kopi Swasta Di Karesidenan Pasuruan Tahun 1870-1890","type":"article-journal","volume":"4"},"uris":["http://www.mendeley.com/documents/?uuid=71f667e7-7586-4a8d-8b44-b2da9a7bffeb"]}],"mendeley":{"formattedCitation":"(Aminulloh, 2023)","plainTextFormattedCitation":"(Aminulloh, 2023)","previouslyFormattedCitation":"(Aminulloh, 2023)"},"properties":{"noteIndex":0},"schema":"https://github.com/citation-style-language/schema/raw/master/csl-citation.json"}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bCs/>
          <w:noProof/>
          <w:sz w:val="20"/>
          <w:szCs w:val="20"/>
          <w:lang w:val="en-US"/>
        </w:rPr>
        <w:t>(2023)</w:t>
      </w:r>
      <w:r w:rsidR="004E0CBB">
        <w:rPr>
          <w:rStyle w:val="FootnoteReference"/>
          <w:rFonts w:ascii="Times New Roman" w:hAnsi="Times New Roman" w:cs="Times New Roman"/>
          <w:sz w:val="20"/>
          <w:szCs w:val="20"/>
        </w:rPr>
        <w:fldChar w:fldCharType="end"/>
      </w:r>
      <w:r w:rsidR="00EA50F1">
        <w:rPr>
          <w:rFonts w:ascii="Times New Roman" w:hAnsi="Times New Roman" w:cs="Times New Roman"/>
          <w:sz w:val="20"/>
          <w:szCs w:val="20"/>
        </w:rPr>
        <w:t>.</w:t>
      </w:r>
    </w:p>
    <w:p w14:paraId="1F100B20" w14:textId="47064A5A" w:rsidR="00B40166" w:rsidRDefault="00FC2F93" w:rsidP="00B40166">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Diterapkannya Cultuurstelsel memberikan dampak besar pada kehidupan ekonomi dan sosial masyarakat di wilayah Pasuruan, terutama karena wilayah ini merupakan daerah di mana penerapan dari kebijakan tersebut sangat efektif. Gencarnya budidaya tebu sejalan dengan perkembangan industri gula yang sangat pesat hingga membawa kemakmuran umum bagi banyak penduduk di kota Pasuruan, dan untuk waktu yang lama, Pasuruan menjadi salah satu wilayah terkaya di Jawa</w:t>
      </w:r>
      <w:r w:rsidR="009B4811">
        <w:rPr>
          <w:rFonts w:ascii="Times New Roman" w:hAnsi="Times New Roman" w:cs="Times New Roman"/>
          <w:sz w:val="20"/>
          <w:szCs w:val="20"/>
        </w:rPr>
        <w:t xml:space="preserve"> Oetomo </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{"citationItems":[{"id":"ITEM-1","itemData":{"DOI":"10.15144/PL-D63.cover","ISBN":"9780858833494","abstract":"… For serious higher education , many students aim at enrol ling in the prestigious universities in Java ' s … Finally , there are the so-called minorities of alien origin (keturunan asing) - … For example , it may be used in complaining about 'how di fficult it is to enrol in a state university …","author":[{"dropping-particle":"","family":"Oetomo","given":"Dédé","non-dropping-particle":"","parse-names":false,"suffix":""}],"id":"ITEM-1","issue":"63","issued":{"date-parts":[["1987"]]},"page":"iv+292","title":"The Chinese of Pasuruan: their language and identity","type":"article-journal","volume":"63"},"uris":["http://www.mendeley.com/documents/?uuid=069298a5-cb39-4a15-b761-dfd39ecccb8c"]}],"mendeley":{"formattedCitation":"(Oetomo, 1987)","plainTextFormattedCitation":"(Oetomo, 1987)","previouslyFormattedCitation":"(Oetomo, 1987)"},"properties":{"noteIndex":0},"schema":"https://github.com/citation-style-language/schema/raw/master/csl-citation.json"}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bCs/>
          <w:noProof/>
          <w:sz w:val="20"/>
          <w:szCs w:val="20"/>
          <w:lang w:val="en-US"/>
        </w:rPr>
        <w:t>(1987)</w:t>
      </w:r>
      <w:r w:rsidR="004E0CBB">
        <w:rPr>
          <w:rStyle w:val="FootnoteReference"/>
          <w:rFonts w:ascii="Times New Roman" w:hAnsi="Times New Roman" w:cs="Times New Roman"/>
          <w:sz w:val="20"/>
          <w:szCs w:val="20"/>
        </w:rPr>
        <w:fldChar w:fldCharType="end"/>
      </w:r>
      <w:r w:rsidR="009B4811">
        <w:rPr>
          <w:rFonts w:ascii="Times New Roman" w:hAnsi="Times New Roman" w:cs="Times New Roman"/>
          <w:sz w:val="20"/>
          <w:szCs w:val="20"/>
        </w:rPr>
        <w:t xml:space="preserve">. </w:t>
      </w:r>
      <w:r w:rsidRPr="00196BE3">
        <w:rPr>
          <w:rFonts w:ascii="Times New Roman" w:hAnsi="Times New Roman" w:cs="Times New Roman"/>
          <w:sz w:val="20"/>
          <w:szCs w:val="20"/>
        </w:rPr>
        <w:t>Meskipun krisis gula tahun 1884 akibat wabah sereh sempat berdampak pada kemakmuran umum di sana, wilayah ini tetap relatif kaya, sehingga pada pergantian abad ke-20, kota ini menempati peringkat keempat di antara kota-kota dagang di Jawa.</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{"citationItems":[{"id":"ITEM-1","itemData":{"author":[{"dropping-particle":"","family":"Handinoto","given":"","non-dropping-particle":"","parse-names":false,"suffix":""}],"container-title":"Simposium Nasional Arsitektur Vernakular 2","id":"ITEM-1","issued":{"date-parts":[["1931"]]},"page":"1-8","title":"Pasuruan dan Arsitektur Etnis China Akhir Abad 19 dan Awal Abad ke 20","type":"article-journal"},"uris":["http://www.mendeley.com/documents/?uuid=71a9eaa3-9094-4197-af98-14553cc5b45a"]}],"mendeley":{"formattedCitation":"(Handinoto, 1931)","plainTextFormattedCitation":"(Handinoto, 1931)","previouslyFormattedCitation":"(Handinoto, 1931)"},"properties":{"noteIndex":0},"schema":"https://github.com/citation-style-language/schema/raw/master/csl-citation.json"}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noProof/>
          <w:sz w:val="20"/>
          <w:szCs w:val="20"/>
        </w:rPr>
        <w:t>(Handinoto, 1931)</w:t>
      </w:r>
      <w:r w:rsidR="004E0CBB">
        <w:rPr>
          <w:rStyle w:val="FootnoteReference"/>
          <w:rFonts w:ascii="Times New Roman" w:hAnsi="Times New Roman" w:cs="Times New Roman"/>
          <w:sz w:val="20"/>
          <w:szCs w:val="20"/>
        </w:rPr>
        <w:fldChar w:fldCharType="end"/>
      </w:r>
      <w:r w:rsidRPr="00196BE3">
        <w:rPr>
          <w:rFonts w:ascii="Times New Roman" w:hAnsi="Times New Roman" w:cs="Times New Roman"/>
          <w:sz w:val="20"/>
          <w:szCs w:val="20"/>
        </w:rPr>
        <w:t xml:space="preserve">  Sebagai kota dagang pasuruan juga memiliki berperan sebagai pusat pengumpul hasil perkebunan dari wilayah disekitarnya yang kemudian diangkut menuju pelabuhan untuk didistribusikan hingga ke negara lain. NHM (Nederlandsche Handel Maatschappij)  menjadi salah satu perusahaan yang sering melakukan distribusi ekspor kopi dan gula langsung dari pelabuhan Pasuruan.</w:t>
      </w:r>
      <w:r w:rsidR="00B07549">
        <w:rPr>
          <w:rFonts w:ascii="Times New Roman" w:hAnsi="Times New Roman" w:cs="Times New Roman"/>
          <w:sz w:val="20"/>
          <w:szCs w:val="20"/>
        </w:rPr>
        <w:t xml:space="preserve"> </w:t>
      </w:r>
      <w:r w:rsidR="004E0CBB">
        <w:rPr>
          <w:rStyle w:val="FootnoteReference"/>
          <w:rFonts w:ascii="Times New Roman" w:hAnsi="Times New Roman" w:cs="Times New Roman"/>
          <w:sz w:val="20"/>
          <w:szCs w:val="20"/>
        </w:rPr>
        <w:fldChar w:fldCharType="begin" w:fldLock="1"/>
      </w:r>
      <w:r w:rsidR="00B40166">
        <w:rPr>
          <w:rFonts w:ascii="Times New Roman" w:hAnsi="Times New Roman" w:cs="Times New Roman"/>
          <w:sz w:val="20"/>
          <w:szCs w:val="20"/>
        </w:rPr>
        <w:instrText>ADDIN CSL_CITATION {"citationItems":[{"id":"ITEM-1","itemData":{"author":[{"dropping-particle":"Von","family":"Faber","given":"G.H.","non-dropping-particle":"","parse-names":false,"suffix":""}],"id":"ITEM-1","issued":{"date-parts":[["1931"]]},"publisher":"Gemeente Soerabaia","publisher-place":"Soerabaia","title":"Oud Soerabaia: De Geschiedenis Van Indie’s Eerste Koopstad Van De Oudste Tijden Tot De Insteling Van De Gemeenteraad","type":"book"},"uris":["http://www.mendeley.com/documents/?uuid=c0470cfb-8a14-4b01-9790-7a5a11f3c7b3"]}],"mendeley":{"formattedCitation":"(Faber, 1931)","plainTextFormattedCitation":"(Faber, 1931)","previouslyFormattedCitation":"(Faber, 1931)"},"properties":{"noteIndex":0},"schema":"https://github.com/citation-style-language/schema/raw/master/csl-citation.json"}</w:instrText>
      </w:r>
      <w:r w:rsidR="004E0CBB">
        <w:rPr>
          <w:rStyle w:val="FootnoteReference"/>
          <w:rFonts w:ascii="Times New Roman" w:hAnsi="Times New Roman" w:cs="Times New Roman"/>
          <w:sz w:val="20"/>
          <w:szCs w:val="20"/>
        </w:rPr>
        <w:fldChar w:fldCharType="separate"/>
      </w:r>
      <w:r w:rsidR="004E0CBB" w:rsidRPr="004E0CBB">
        <w:rPr>
          <w:rFonts w:ascii="Times New Roman" w:hAnsi="Times New Roman" w:cs="Times New Roman"/>
          <w:noProof/>
          <w:sz w:val="20"/>
          <w:szCs w:val="20"/>
        </w:rPr>
        <w:t>(Faber, 1931)</w:t>
      </w:r>
      <w:r w:rsidR="004E0CBB">
        <w:rPr>
          <w:rStyle w:val="FootnoteReference"/>
          <w:rFonts w:ascii="Times New Roman" w:hAnsi="Times New Roman" w:cs="Times New Roman"/>
          <w:sz w:val="20"/>
          <w:szCs w:val="20"/>
        </w:rPr>
        <w:fldChar w:fldCharType="end"/>
      </w:r>
      <w:r w:rsidRPr="00196BE3">
        <w:rPr>
          <w:rFonts w:ascii="Times New Roman" w:hAnsi="Times New Roman" w:cs="Times New Roman"/>
          <w:sz w:val="20"/>
          <w:szCs w:val="20"/>
        </w:rPr>
        <w:t xml:space="preserve"> </w:t>
      </w:r>
    </w:p>
    <w:p w14:paraId="7A5C58D9" w14:textId="506CE025" w:rsidR="00B40166" w:rsidRDefault="004370FD" w:rsidP="00B40166">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Kota Pasuruan sempat menyandang status </w:t>
      </w:r>
      <w:r w:rsidRPr="00196BE3">
        <w:rPr>
          <w:rFonts w:ascii="Times New Roman" w:hAnsi="Times New Roman" w:cs="Times New Roman"/>
          <w:i/>
          <w:iCs/>
          <w:sz w:val="20"/>
          <w:szCs w:val="20"/>
        </w:rPr>
        <w:t xml:space="preserve">gemeente. </w:t>
      </w:r>
      <w:r w:rsidRPr="00196BE3">
        <w:rPr>
          <w:rFonts w:ascii="Times New Roman" w:hAnsi="Times New Roman" w:cs="Times New Roman"/>
          <w:sz w:val="20"/>
          <w:szCs w:val="20"/>
        </w:rPr>
        <w:t>Gemeente Pasuruan pada awal dibentuk memiliki luas wilayah 1</w:t>
      </w:r>
      <w:r w:rsidR="009B4811">
        <w:rPr>
          <w:rFonts w:ascii="Times New Roman" w:hAnsi="Times New Roman" w:cs="Times New Roman"/>
          <w:sz w:val="20"/>
          <w:szCs w:val="20"/>
        </w:rPr>
        <w:t>.</w:t>
      </w:r>
      <w:r w:rsidRPr="00196BE3">
        <w:rPr>
          <w:rFonts w:ascii="Times New Roman" w:hAnsi="Times New Roman" w:cs="Times New Roman"/>
          <w:sz w:val="20"/>
          <w:szCs w:val="20"/>
        </w:rPr>
        <w:t>367 hektar dengan kepadatan penduduk 33.000 ribu warga, yang terdiri dari 700 orang Eropa, 3.200 orang Cina dan Timur Asing, dan 29.000 orang pribumi.</w:t>
      </w:r>
      <w:r w:rsidR="00EA50F1">
        <w:rPr>
          <w:rFonts w:ascii="Times New Roman" w:hAnsi="Times New Roman" w:cs="Times New Roman"/>
          <w:sz w:val="20"/>
          <w:szCs w:val="20"/>
        </w:rPr>
        <w:t xml:space="preserve"> </w:t>
      </w:r>
      <w:r w:rsidRPr="00196BE3">
        <w:rPr>
          <w:rFonts w:ascii="Times New Roman" w:hAnsi="Times New Roman" w:cs="Times New Roman"/>
          <w:sz w:val="20"/>
          <w:szCs w:val="20"/>
        </w:rPr>
        <w:t xml:space="preserve">Penetapan status gemeente memberikan kewenangan bagi pemerintahan Dewan Kota untuk mengatur tata ruang kota dan pembangunan jalan-jalan utama di Pasuruan dirancang secara sistematis, disesuaikan dengan kebutuhan kontrol administrasi serta untuk menjamin kelancaran produksi dan distribusi hasil bumi dari wilayah </w:t>
      </w:r>
      <w:r w:rsidRPr="00196BE3">
        <w:rPr>
          <w:rFonts w:ascii="Times New Roman" w:hAnsi="Times New Roman" w:cs="Times New Roman"/>
          <w:i/>
          <w:iCs/>
          <w:sz w:val="20"/>
          <w:szCs w:val="20"/>
        </w:rPr>
        <w:t>hinterland</w:t>
      </w:r>
      <w:r w:rsidRPr="00196BE3">
        <w:rPr>
          <w:rFonts w:ascii="Times New Roman" w:hAnsi="Times New Roman" w:cs="Times New Roman"/>
          <w:sz w:val="20"/>
          <w:szCs w:val="20"/>
        </w:rPr>
        <w:t xml:space="preserve"> atau wilayah pedalaman menuju kota Pasuruan untuk didistribusikan ke wilayah lain melalui pelabuhan. Kota Pasuruan berkembang tidak hanya sebagai kota dagang, tetapi juga menjadi pusat penelitian gula di Jawa bagian timur dengan mendirikan Proefstation </w:t>
      </w:r>
      <w:r w:rsidRPr="00196BE3">
        <w:rPr>
          <w:rFonts w:ascii="Times New Roman" w:hAnsi="Times New Roman" w:cs="Times New Roman"/>
          <w:sz w:val="20"/>
          <w:szCs w:val="20"/>
        </w:rPr>
        <w:t>voor de Java-Suikerindustrie</w:t>
      </w:r>
      <w:r w:rsidR="00EA50F1">
        <w:rPr>
          <w:rFonts w:ascii="Times New Roman" w:hAnsi="Times New Roman" w:cs="Times New Roman"/>
          <w:sz w:val="20"/>
          <w:szCs w:val="20"/>
        </w:rPr>
        <w:t>.</w:t>
      </w:r>
      <w:r w:rsidR="00F04D5B">
        <w:rPr>
          <w:rStyle w:val="FootnoteReference"/>
          <w:rFonts w:ascii="Times New Roman" w:hAnsi="Times New Roman" w:cs="Times New Roman"/>
          <w:sz w:val="20"/>
          <w:szCs w:val="20"/>
        </w:rPr>
        <w:footnoteReference w:id="1"/>
      </w:r>
      <w:r w:rsidR="00EA50F1">
        <w:rPr>
          <w:rFonts w:ascii="Times New Roman" w:hAnsi="Times New Roman" w:cs="Times New Roman"/>
          <w:sz w:val="20"/>
          <w:szCs w:val="20"/>
        </w:rPr>
        <w:t xml:space="preserve"> </w:t>
      </w:r>
      <w:r w:rsidRPr="00196BE3">
        <w:rPr>
          <w:rFonts w:ascii="Times New Roman" w:hAnsi="Times New Roman" w:cs="Times New Roman"/>
          <w:sz w:val="20"/>
          <w:szCs w:val="20"/>
        </w:rPr>
        <w:t xml:space="preserve">Fasilitas penelitian ini memberikan kontribusi yang sangat besar bagi pertumbuhan industri gula melalui banyaknya penemuan baru di bidang pertanian, kimia dan teknis. Salah satunya melalui penemuan varietas tebu unggulan yang diberi mana POJ 2878, yang mampu menyelamatkan industri gula dari krisis dan serangan hama sebab varietas ini tahan penyakit, adaptif di berbagai lahan, memiliki rendemen tinggi, dan menjadi dasar persilangan banyak tebu modern. Tingginya aktivitas dan perputaran ekonomi di Pasuruan menarik para pendatang dari berbagai kalangan, termasuk dari masyarakat Eropa serta Tionghoa yang datang untuk mencari peluang dan pada akhirnya menetap di Pasuruan. </w:t>
      </w:r>
    </w:p>
    <w:p w14:paraId="64DADCB5" w14:textId="1BF6BDF9" w:rsidR="004370FD" w:rsidRPr="00196BE3" w:rsidRDefault="004370FD" w:rsidP="00B40166">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Berkembangnya populasi serta banyaknya para pendatang yang menetap di Pasuruan akhirnya mendorong Pemerintah Kolonial Belanda untuk memberlakukan sistem administrasi diskriminatif. Dengan menerapkan kebijakan </w:t>
      </w:r>
      <w:r w:rsidRPr="00196BE3">
        <w:rPr>
          <w:rFonts w:ascii="Times New Roman" w:hAnsi="Times New Roman" w:cs="Times New Roman"/>
          <w:i/>
          <w:iCs/>
          <w:sz w:val="20"/>
          <w:szCs w:val="20"/>
        </w:rPr>
        <w:t>wijkenstelsel</w:t>
      </w:r>
      <w:r w:rsidRPr="00196BE3">
        <w:rPr>
          <w:rFonts w:ascii="Times New Roman" w:hAnsi="Times New Roman" w:cs="Times New Roman"/>
          <w:sz w:val="20"/>
          <w:szCs w:val="20"/>
        </w:rPr>
        <w:t xml:space="preserve"> yang mewajibkan masyarakat tiap kelompok masyarakat bermukim di area tertentu, dengan aliran Sungai Gembong yang membelah kota berfungsi sebagai batas utamanya</w:t>
      </w:r>
      <w:r w:rsidR="00EA50F1">
        <w:rPr>
          <w:rFonts w:ascii="Times New Roman" w:hAnsi="Times New Roman" w:cs="Times New Roman"/>
          <w:sz w:val="20"/>
          <w:szCs w:val="20"/>
        </w:rPr>
        <w:t xml:space="preserve"> Hamdy</w:t>
      </w:r>
      <w:r w:rsidR="00B07549">
        <w:rPr>
          <w:rFonts w:ascii="Times New Roman" w:hAnsi="Times New Roman" w:cs="Times New Roman"/>
          <w:sz w:val="20"/>
          <w:szCs w:val="20"/>
        </w:rPr>
        <w:t xml:space="preserve"> </w:t>
      </w:r>
      <w:r w:rsidR="004E0CBB">
        <w:rPr>
          <w:rFonts w:ascii="Times New Roman" w:hAnsi="Times New Roman" w:cs="Times New Roman"/>
          <w:sz w:val="20"/>
          <w:szCs w:val="20"/>
          <w:vertAlign w:val="superscript"/>
        </w:rPr>
        <w:fldChar w:fldCharType="begin" w:fldLock="1"/>
      </w:r>
      <w:r w:rsidR="00B40166">
        <w:rPr>
          <w:rFonts w:ascii="Times New Roman" w:hAnsi="Times New Roman" w:cs="Times New Roman"/>
          <w:sz w:val="20"/>
          <w:szCs w:val="20"/>
        </w:rPr>
        <w:instrText>ADDIN CSL_CITATION {"citationItems":[{"id":"ITEM-1","itemData":{"author":[{"dropping-particle":"","family":"Hamdy","given":"Muhammad","non-dropping-particle":"","parse-names":false,"suffix":""}],"container-title":"Jurnal AVATARA","id":"ITEM-1","issue":"2","issued":{"date-parts":[["2021"]]},"page":"1-13","title":"Kawasan Elit Masyarakat Eropa di Kota Pasuruan Tahun 1918 – 1942.","type":"article-journal","volume":"10"},"uris":["http://www.mendeley.com/documents/?uuid=e4db70f0-8fc9-43a6-b463-83151e144b04"]}],"mendeley":{"formattedCitation":"(Hamdy, 2021)","plainTextFormattedCitation":"(Hamdy, 2021)","previouslyFormattedCitation":"(Hamdy, 2021)"},"properties":{"noteIndex":0},"schema":"https://github.com/citation-style-language/schema/raw/master/csl-citation.json"}</w:instrText>
      </w:r>
      <w:r w:rsidR="004E0CBB">
        <w:rPr>
          <w:rFonts w:ascii="Times New Roman" w:hAnsi="Times New Roman" w:cs="Times New Roman"/>
          <w:sz w:val="20"/>
          <w:szCs w:val="20"/>
          <w:vertAlign w:val="superscript"/>
        </w:rPr>
        <w:fldChar w:fldCharType="separate"/>
      </w:r>
      <w:r w:rsidR="00B40166" w:rsidRPr="00B40166">
        <w:rPr>
          <w:rFonts w:ascii="Times New Roman" w:hAnsi="Times New Roman" w:cs="Times New Roman"/>
          <w:noProof/>
          <w:sz w:val="20"/>
          <w:szCs w:val="20"/>
        </w:rPr>
        <w:t>(2021)</w:t>
      </w:r>
      <w:r w:rsidR="004E0CBB">
        <w:rPr>
          <w:rFonts w:ascii="Times New Roman" w:hAnsi="Times New Roman" w:cs="Times New Roman"/>
          <w:sz w:val="20"/>
          <w:szCs w:val="20"/>
          <w:vertAlign w:val="superscript"/>
        </w:rPr>
        <w:fldChar w:fldCharType="end"/>
      </w:r>
      <w:r w:rsidR="00EA50F1">
        <w:rPr>
          <w:rFonts w:ascii="Times New Roman" w:hAnsi="Times New Roman" w:cs="Times New Roman"/>
          <w:sz w:val="20"/>
          <w:szCs w:val="20"/>
        </w:rPr>
        <w:t xml:space="preserve">. </w:t>
      </w:r>
      <w:r w:rsidRPr="00196BE3">
        <w:rPr>
          <w:rFonts w:ascii="Times New Roman" w:hAnsi="Times New Roman" w:cs="Times New Roman"/>
          <w:sz w:val="20"/>
          <w:szCs w:val="20"/>
        </w:rPr>
        <w:t xml:space="preserve">Kawasan hunian orang Eropa lebih berorientasi pada wilayah pusat pemerintahan dan perkantoran. Kawasan ini </w:t>
      </w:r>
      <w:r w:rsidR="00F04D5B">
        <w:rPr>
          <w:rFonts w:ascii="Times New Roman" w:hAnsi="Times New Roman" w:cs="Times New Roman"/>
          <w:sz w:val="20"/>
          <w:szCs w:val="20"/>
        </w:rPr>
        <w:t xml:space="preserve">berada </w:t>
      </w:r>
      <w:r w:rsidRPr="00196BE3">
        <w:rPr>
          <w:rFonts w:ascii="Times New Roman" w:hAnsi="Times New Roman" w:cs="Times New Roman"/>
          <w:sz w:val="20"/>
          <w:szCs w:val="20"/>
        </w:rPr>
        <w:t xml:space="preserve">di jalur utama yang dipusatkan untuk berbagai fasilitas penting, seperti kantor </w:t>
      </w:r>
      <w:r w:rsidRPr="00196BE3">
        <w:rPr>
          <w:rFonts w:ascii="Times New Roman" w:hAnsi="Times New Roman" w:cs="Times New Roman"/>
          <w:i/>
          <w:iCs/>
          <w:sz w:val="20"/>
          <w:szCs w:val="20"/>
        </w:rPr>
        <w:t>Het Proefstation Oost Java</w:t>
      </w:r>
      <w:r w:rsidRPr="00196BE3">
        <w:rPr>
          <w:rFonts w:ascii="Times New Roman" w:hAnsi="Times New Roman" w:cs="Times New Roman"/>
          <w:sz w:val="20"/>
          <w:szCs w:val="20"/>
        </w:rPr>
        <w:t xml:space="preserve">, kantor Residen, </w:t>
      </w:r>
      <w:r w:rsidRPr="00196BE3">
        <w:rPr>
          <w:rFonts w:ascii="Times New Roman" w:hAnsi="Times New Roman" w:cs="Times New Roman"/>
          <w:i/>
          <w:iCs/>
          <w:sz w:val="20"/>
          <w:szCs w:val="20"/>
        </w:rPr>
        <w:t>Gemeentekantoor</w:t>
      </w:r>
      <w:r w:rsidRPr="00196BE3">
        <w:rPr>
          <w:rFonts w:ascii="Times New Roman" w:hAnsi="Times New Roman" w:cs="Times New Roman"/>
          <w:sz w:val="20"/>
          <w:szCs w:val="20"/>
        </w:rPr>
        <w:t xml:space="preserve">, </w:t>
      </w:r>
      <w:r w:rsidRPr="00196BE3">
        <w:rPr>
          <w:rFonts w:ascii="Times New Roman" w:hAnsi="Times New Roman" w:cs="Times New Roman"/>
          <w:i/>
          <w:iCs/>
          <w:sz w:val="20"/>
          <w:szCs w:val="20"/>
        </w:rPr>
        <w:t>Marine Hotel</w:t>
      </w:r>
      <w:r w:rsidRPr="00196BE3">
        <w:rPr>
          <w:rFonts w:ascii="Times New Roman" w:hAnsi="Times New Roman" w:cs="Times New Roman"/>
          <w:sz w:val="20"/>
          <w:szCs w:val="20"/>
        </w:rPr>
        <w:t xml:space="preserve">, klub hiburan </w:t>
      </w:r>
      <w:r w:rsidRPr="00196BE3">
        <w:rPr>
          <w:rFonts w:ascii="Times New Roman" w:hAnsi="Times New Roman" w:cs="Times New Roman"/>
          <w:i/>
          <w:iCs/>
          <w:sz w:val="20"/>
          <w:szCs w:val="20"/>
        </w:rPr>
        <w:t>Harmonie</w:t>
      </w:r>
      <w:r w:rsidRPr="00196BE3">
        <w:rPr>
          <w:rFonts w:ascii="Times New Roman" w:hAnsi="Times New Roman" w:cs="Times New Roman"/>
          <w:sz w:val="20"/>
          <w:szCs w:val="20"/>
        </w:rPr>
        <w:t xml:space="preserve">, hingga kompleks pabrik katun, pasar, dan pergudangan. Sementara itu, di sebelah barat Sungai Gembong ditetapkan sebagai kawasan </w:t>
      </w:r>
      <w:r w:rsidRPr="00196BE3">
        <w:rPr>
          <w:rFonts w:ascii="Times New Roman" w:hAnsi="Times New Roman" w:cs="Times New Roman"/>
          <w:i/>
          <w:iCs/>
          <w:sz w:val="20"/>
          <w:szCs w:val="20"/>
        </w:rPr>
        <w:t>Vreemde Oosterlingen Wijk</w:t>
      </w:r>
      <w:r w:rsidRPr="00196BE3">
        <w:rPr>
          <w:rFonts w:ascii="Times New Roman" w:hAnsi="Times New Roman" w:cs="Times New Roman"/>
          <w:sz w:val="20"/>
          <w:szCs w:val="20"/>
        </w:rPr>
        <w:t>. Di wilayah ini, masyarakat Tionghoa menempati area sepanjang jalan poros peninggalan Daendels yang dikembangkan menjadi pusat bisnis dan pertokoan. Bangunan-bangunan di kawasan umumnya ini didirikan secara permanen menggunakan tembok dan atap genting yang menampilkan corak arsitektur akulturasi dengan budaya Eropa. Sedangkan kediaman orang Arab berada di daerah kawasan alun-alun yaitu di jalan Kauman, Bangilan, Kebonsari, dan sekitarnya. Kondisi permukiman orang Arab berbaur dengan pribumi, mereka tinggal di sekitaran masjid dan alun-alu</w:t>
      </w:r>
      <w:r w:rsidR="00F04D5B">
        <w:rPr>
          <w:rFonts w:ascii="Times New Roman" w:hAnsi="Times New Roman" w:cs="Times New Roman"/>
          <w:sz w:val="20"/>
          <w:szCs w:val="20"/>
        </w:rPr>
        <w:t>n</w:t>
      </w:r>
      <w:r w:rsidRPr="00196BE3">
        <w:rPr>
          <w:rFonts w:ascii="Times New Roman" w:hAnsi="Times New Roman" w:cs="Times New Roman"/>
          <w:sz w:val="20"/>
          <w:szCs w:val="20"/>
        </w:rPr>
        <w:t>.</w:t>
      </w:r>
    </w:p>
    <w:p w14:paraId="728629A2" w14:textId="36E89C4C" w:rsidR="004370FD" w:rsidRPr="00196BE3" w:rsidRDefault="004370FD">
      <w:pPr>
        <w:pStyle w:val="ListParagraph"/>
        <w:numPr>
          <w:ilvl w:val="0"/>
          <w:numId w:val="1"/>
        </w:numPr>
        <w:spacing w:after="0" w:line="240" w:lineRule="auto"/>
        <w:jc w:val="both"/>
        <w:rPr>
          <w:rFonts w:ascii="Times New Roman" w:hAnsi="Times New Roman" w:cs="Times New Roman"/>
          <w:b/>
          <w:bCs/>
          <w:sz w:val="20"/>
          <w:szCs w:val="20"/>
        </w:rPr>
      </w:pPr>
      <w:r w:rsidRPr="00196BE3">
        <w:rPr>
          <w:rFonts w:ascii="Times New Roman" w:hAnsi="Times New Roman" w:cs="Times New Roman"/>
          <w:b/>
          <w:bCs/>
          <w:sz w:val="20"/>
          <w:szCs w:val="20"/>
        </w:rPr>
        <w:t>Kondisi Sosial Etnis Tionghoa di Pasuruan</w:t>
      </w:r>
    </w:p>
    <w:p w14:paraId="2569CA39" w14:textId="2041FE40" w:rsidR="00E83AC6" w:rsidRPr="00B40166" w:rsidRDefault="004370FD" w:rsidP="00B40166">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Keberadaan masyarakat etnis Tionghoa di Pasuruan diperkirakan telah ada sejak abad ke-17. Perkiraan ini mengacu pada bukti fisik berupa bangunan Klenteng Tjoe Tik Kiong yang telah berdiri di Pasuruan pada masa tersebut. Kelompok Imigran Tionghoa yang menetap di Pasuruan umumnya berasal dari Provinsi Fujian di Tiongkok</w:t>
      </w:r>
      <w:r w:rsidR="00F04D5B">
        <w:rPr>
          <w:rFonts w:ascii="Times New Roman" w:hAnsi="Times New Roman" w:cs="Times New Roman"/>
          <w:sz w:val="20"/>
          <w:szCs w:val="20"/>
        </w:rPr>
        <w:t xml:space="preserve"> Oetomo </w:t>
      </w:r>
      <w:r w:rsidR="005E22BF">
        <w:rPr>
          <w:rFonts w:ascii="Times New Roman" w:hAnsi="Times New Roman" w:cs="Times New Roman"/>
          <w:sz w:val="20"/>
          <w:szCs w:val="20"/>
        </w:rPr>
        <w:t>(1987)</w:t>
      </w:r>
      <w:r w:rsidR="00F04D5B">
        <w:rPr>
          <w:rFonts w:ascii="Times New Roman" w:hAnsi="Times New Roman" w:cs="Times New Roman"/>
          <w:sz w:val="20"/>
          <w:szCs w:val="20"/>
        </w:rPr>
        <w:t>.</w:t>
      </w:r>
      <w:r w:rsidRPr="00196BE3">
        <w:rPr>
          <w:rFonts w:ascii="Times New Roman" w:hAnsi="Times New Roman" w:cs="Times New Roman"/>
          <w:sz w:val="20"/>
          <w:szCs w:val="20"/>
        </w:rPr>
        <w:t xml:space="preserve"> Masyarakat Tionghoa di Pasuruan secara umum terbagi menjadi dua kelompok yaitu Totok dan Peranakan. Istilah Peranakan merujuk pada keturunan Tionghoa yang melakukan pernikahan campuran dengan masyarakat pribumi. Sementara itu, kelompok Totok adalah para imigran langsung Tiongkok ataupun keturunan dari warga Tionghoa yang masih menjaga kemurnian keturunan dan budayanya tanpa melakukan pernikahan campuran sehingga </w:t>
      </w:r>
      <w:r w:rsidRPr="00B40166">
        <w:rPr>
          <w:rFonts w:ascii="Times New Roman" w:hAnsi="Times New Roman" w:cs="Times New Roman"/>
          <w:sz w:val="20"/>
          <w:szCs w:val="20"/>
        </w:rPr>
        <w:t xml:space="preserve">mereka masih mempertahankan bahasa dan adat istiadat dari negeri </w:t>
      </w:r>
      <w:r w:rsidRPr="00B40166">
        <w:rPr>
          <w:rFonts w:ascii="Times New Roman" w:hAnsi="Times New Roman" w:cs="Times New Roman"/>
          <w:sz w:val="20"/>
          <w:szCs w:val="20"/>
        </w:rPr>
        <w:lastRenderedPageBreak/>
        <w:t>asalnya. Para imigran Tionghoa yang datang ke Indonesia berasal dari asal daerah yang beraneka ragam, jika berdasarkan ciri linguistik kelompok masyarakat tersebut dapat diklasifikasikan menjadi 3 kelompok utama berdasarkan bahasa mereka, yakni kelompok berbahasa Hokkien, Hakka, dan Kanton. Dalam konteks pendirian THHK, organisasi ini didominasi oleh golongan Peranakan. Pasuruan juga memiliki nama tersendiri yaitu Yan Wang.</w:t>
      </w:r>
      <w:r w:rsidR="009B4811">
        <w:rPr>
          <w:rFonts w:ascii="Times New Roman" w:hAnsi="Times New Roman" w:cs="Times New Roman"/>
          <w:sz w:val="20"/>
          <w:szCs w:val="20"/>
        </w:rPr>
        <w:t xml:space="preserve"> </w:t>
      </w:r>
      <w:r w:rsidR="009B4811" w:rsidRPr="00300C99">
        <w:rPr>
          <w:rFonts w:ascii="Times New Roman" w:hAnsi="Times New Roman" w:cs="Times New Roman"/>
          <w:sz w:val="20"/>
          <w:szCs w:val="20"/>
        </w:rPr>
        <w:t>Sama halnya dengan berbagai kota lain di Pulau Jawa yang memiliki penamaan dalam bahasa mandarin, seperti Xia Gang untuk Banten, Wen Deng untuk Tangerang, Ye Cheng untuk Batavia, Lin Mu untuk Demak, Ce Cun untuk Gresik, Si Shui untuk Surabaya, serta Yan Wang untuk Pasuruan</w:t>
      </w:r>
    </w:p>
    <w:p w14:paraId="30F295C7" w14:textId="2348A834" w:rsidR="00E83AC6" w:rsidRPr="00196BE3" w:rsidRDefault="00B40166" w:rsidP="00B40166">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1238"/>
        <w:gridCol w:w="1107"/>
        <w:gridCol w:w="1238"/>
        <w:gridCol w:w="1107"/>
      </w:tblGrid>
      <w:tr w:rsidR="00F04D5B" w14:paraId="69422A04" w14:textId="77777777" w:rsidTr="00F04D5B">
        <w:tc>
          <w:tcPr>
            <w:tcW w:w="1238" w:type="dxa"/>
            <w:vMerge w:val="restart"/>
            <w:vAlign w:val="center"/>
          </w:tcPr>
          <w:p w14:paraId="153DE4E4" w14:textId="0736F355" w:rsidR="00F04D5B" w:rsidRDefault="00F04D5B" w:rsidP="00F04D5B">
            <w:pPr>
              <w:pStyle w:val="ListParagraph"/>
              <w:ind w:left="0"/>
              <w:jc w:val="center"/>
              <w:rPr>
                <w:rFonts w:ascii="Times New Roman" w:hAnsi="Times New Roman" w:cs="Times New Roman"/>
                <w:sz w:val="20"/>
                <w:szCs w:val="20"/>
              </w:rPr>
            </w:pPr>
            <w:r w:rsidRPr="007F1B5A">
              <w:rPr>
                <w:rFonts w:ascii="Times New Roman" w:hAnsi="Times New Roman" w:cs="Times New Roman"/>
                <w:b/>
                <w:bCs/>
                <w:sz w:val="20"/>
                <w:szCs w:val="20"/>
              </w:rPr>
              <w:t>Distrik</w:t>
            </w:r>
          </w:p>
        </w:tc>
        <w:tc>
          <w:tcPr>
            <w:tcW w:w="3452" w:type="dxa"/>
            <w:gridSpan w:val="3"/>
            <w:vAlign w:val="center"/>
          </w:tcPr>
          <w:p w14:paraId="6D6C27DD" w14:textId="6221AEF6" w:rsidR="00F04D5B" w:rsidRDefault="00F04D5B" w:rsidP="00F04D5B">
            <w:pPr>
              <w:pStyle w:val="ListParagraph"/>
              <w:ind w:left="0"/>
              <w:jc w:val="center"/>
              <w:rPr>
                <w:rFonts w:ascii="Times New Roman" w:hAnsi="Times New Roman" w:cs="Times New Roman"/>
                <w:sz w:val="20"/>
                <w:szCs w:val="20"/>
              </w:rPr>
            </w:pPr>
            <w:r w:rsidRPr="007F1B5A">
              <w:rPr>
                <w:rFonts w:ascii="Times New Roman" w:hAnsi="Times New Roman" w:cs="Times New Roman"/>
                <w:b/>
                <w:bCs/>
                <w:sz w:val="20"/>
                <w:szCs w:val="20"/>
              </w:rPr>
              <w:t>Jumlah Penduduk Tionghoa</w:t>
            </w:r>
          </w:p>
        </w:tc>
      </w:tr>
      <w:tr w:rsidR="00F04D5B" w14:paraId="6C82DC64" w14:textId="77777777" w:rsidTr="00F04D5B">
        <w:tc>
          <w:tcPr>
            <w:tcW w:w="1238" w:type="dxa"/>
            <w:vMerge/>
            <w:vAlign w:val="center"/>
          </w:tcPr>
          <w:p w14:paraId="2A52C87A" w14:textId="77777777" w:rsidR="00F04D5B" w:rsidRDefault="00F04D5B" w:rsidP="00F04D5B">
            <w:pPr>
              <w:pStyle w:val="ListParagraph"/>
              <w:ind w:left="0"/>
              <w:jc w:val="center"/>
              <w:rPr>
                <w:rFonts w:ascii="Times New Roman" w:hAnsi="Times New Roman" w:cs="Times New Roman"/>
                <w:sz w:val="20"/>
                <w:szCs w:val="20"/>
              </w:rPr>
            </w:pPr>
          </w:p>
        </w:tc>
        <w:tc>
          <w:tcPr>
            <w:tcW w:w="1107" w:type="dxa"/>
            <w:vAlign w:val="center"/>
          </w:tcPr>
          <w:p w14:paraId="44E1AECF" w14:textId="4141FE37" w:rsidR="00F04D5B" w:rsidRDefault="00F04D5B" w:rsidP="00F04D5B">
            <w:pPr>
              <w:pStyle w:val="ListParagraph"/>
              <w:ind w:left="0"/>
              <w:jc w:val="center"/>
              <w:rPr>
                <w:rFonts w:ascii="Times New Roman" w:hAnsi="Times New Roman" w:cs="Times New Roman"/>
                <w:sz w:val="20"/>
                <w:szCs w:val="20"/>
              </w:rPr>
            </w:pPr>
            <w:r w:rsidRPr="007F1B5A">
              <w:rPr>
                <w:rFonts w:ascii="Times New Roman" w:hAnsi="Times New Roman" w:cs="Times New Roman"/>
                <w:b/>
                <w:bCs/>
                <w:sz w:val="20"/>
                <w:szCs w:val="20"/>
              </w:rPr>
              <w:t>Laki-Laki</w:t>
            </w:r>
          </w:p>
        </w:tc>
        <w:tc>
          <w:tcPr>
            <w:tcW w:w="1238" w:type="dxa"/>
            <w:vAlign w:val="center"/>
          </w:tcPr>
          <w:p w14:paraId="20FC27C6" w14:textId="77777777" w:rsidR="00F04D5B" w:rsidRDefault="00F04D5B" w:rsidP="00F04D5B">
            <w:pPr>
              <w:pStyle w:val="ListParagraph"/>
              <w:ind w:left="0"/>
              <w:jc w:val="center"/>
              <w:rPr>
                <w:rFonts w:ascii="Times New Roman" w:hAnsi="Times New Roman" w:cs="Times New Roman"/>
                <w:sz w:val="20"/>
                <w:szCs w:val="20"/>
              </w:rPr>
            </w:pPr>
          </w:p>
        </w:tc>
        <w:tc>
          <w:tcPr>
            <w:tcW w:w="1107" w:type="dxa"/>
            <w:vAlign w:val="center"/>
          </w:tcPr>
          <w:p w14:paraId="048E91FA" w14:textId="5D9F9CF2" w:rsidR="00F04D5B" w:rsidRDefault="00F04D5B" w:rsidP="00F04D5B">
            <w:pPr>
              <w:pStyle w:val="ListParagraph"/>
              <w:ind w:left="0"/>
              <w:jc w:val="center"/>
              <w:rPr>
                <w:rFonts w:ascii="Times New Roman" w:hAnsi="Times New Roman" w:cs="Times New Roman"/>
                <w:sz w:val="20"/>
                <w:szCs w:val="20"/>
              </w:rPr>
            </w:pPr>
            <w:r w:rsidRPr="007F1B5A">
              <w:rPr>
                <w:rFonts w:ascii="Times New Roman" w:hAnsi="Times New Roman" w:cs="Times New Roman"/>
                <w:b/>
                <w:bCs/>
                <w:sz w:val="20"/>
                <w:szCs w:val="20"/>
              </w:rPr>
              <w:t>Laki-Laki</w:t>
            </w:r>
          </w:p>
        </w:tc>
      </w:tr>
      <w:tr w:rsidR="00F04D5B" w14:paraId="3A49E64D" w14:textId="77777777" w:rsidTr="00F04D5B">
        <w:tc>
          <w:tcPr>
            <w:tcW w:w="1238" w:type="dxa"/>
            <w:vAlign w:val="center"/>
          </w:tcPr>
          <w:p w14:paraId="734DC77C" w14:textId="1BC25E92"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Tengger</w:t>
            </w:r>
          </w:p>
        </w:tc>
        <w:tc>
          <w:tcPr>
            <w:tcW w:w="1107" w:type="dxa"/>
            <w:vAlign w:val="center"/>
          </w:tcPr>
          <w:p w14:paraId="09EAD444" w14:textId="0AB2D1AC"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171</w:t>
            </w:r>
          </w:p>
        </w:tc>
        <w:tc>
          <w:tcPr>
            <w:tcW w:w="1238" w:type="dxa"/>
            <w:vAlign w:val="center"/>
          </w:tcPr>
          <w:p w14:paraId="10DDDDB1" w14:textId="4F54CC27"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Tengger</w:t>
            </w:r>
          </w:p>
        </w:tc>
        <w:tc>
          <w:tcPr>
            <w:tcW w:w="1107" w:type="dxa"/>
            <w:vAlign w:val="center"/>
          </w:tcPr>
          <w:p w14:paraId="2A8E907D" w14:textId="0328D5A7"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171</w:t>
            </w:r>
          </w:p>
        </w:tc>
      </w:tr>
      <w:tr w:rsidR="00F04D5B" w14:paraId="7A0677ED" w14:textId="77777777" w:rsidTr="00F04D5B">
        <w:tc>
          <w:tcPr>
            <w:tcW w:w="1238" w:type="dxa"/>
            <w:vAlign w:val="center"/>
          </w:tcPr>
          <w:p w14:paraId="4DAB00A7" w14:textId="092263AB"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Wangkal</w:t>
            </w:r>
          </w:p>
        </w:tc>
        <w:tc>
          <w:tcPr>
            <w:tcW w:w="1107" w:type="dxa"/>
            <w:vAlign w:val="center"/>
          </w:tcPr>
          <w:p w14:paraId="3444F5DD" w14:textId="075642BC"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43</w:t>
            </w:r>
          </w:p>
        </w:tc>
        <w:tc>
          <w:tcPr>
            <w:tcW w:w="1238" w:type="dxa"/>
            <w:vAlign w:val="center"/>
          </w:tcPr>
          <w:p w14:paraId="5498E80A" w14:textId="50992735"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Wangkal</w:t>
            </w:r>
          </w:p>
        </w:tc>
        <w:tc>
          <w:tcPr>
            <w:tcW w:w="1107" w:type="dxa"/>
            <w:vAlign w:val="center"/>
          </w:tcPr>
          <w:p w14:paraId="090AAFC9" w14:textId="1E81F74C"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43</w:t>
            </w:r>
          </w:p>
        </w:tc>
      </w:tr>
      <w:tr w:rsidR="00F04D5B" w14:paraId="1BE92154" w14:textId="77777777" w:rsidTr="00F04D5B">
        <w:tc>
          <w:tcPr>
            <w:tcW w:w="1238" w:type="dxa"/>
            <w:vAlign w:val="center"/>
          </w:tcPr>
          <w:p w14:paraId="7195D83E" w14:textId="134ACED6"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Kebontjandi</w:t>
            </w:r>
          </w:p>
        </w:tc>
        <w:tc>
          <w:tcPr>
            <w:tcW w:w="1107" w:type="dxa"/>
            <w:vAlign w:val="center"/>
          </w:tcPr>
          <w:p w14:paraId="1C95BFCE" w14:textId="37EDA57C"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223</w:t>
            </w:r>
          </w:p>
        </w:tc>
        <w:tc>
          <w:tcPr>
            <w:tcW w:w="1238" w:type="dxa"/>
            <w:vAlign w:val="center"/>
          </w:tcPr>
          <w:p w14:paraId="37EC1049" w14:textId="7AF8DD52"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Kebontjandi</w:t>
            </w:r>
          </w:p>
        </w:tc>
        <w:tc>
          <w:tcPr>
            <w:tcW w:w="1107" w:type="dxa"/>
            <w:vAlign w:val="center"/>
          </w:tcPr>
          <w:p w14:paraId="7639A12D" w14:textId="384F9444"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223</w:t>
            </w:r>
          </w:p>
        </w:tc>
      </w:tr>
      <w:tr w:rsidR="00F04D5B" w14:paraId="239631BB" w14:textId="77777777" w:rsidTr="00F04D5B">
        <w:tc>
          <w:tcPr>
            <w:tcW w:w="1238" w:type="dxa"/>
            <w:vAlign w:val="center"/>
          </w:tcPr>
          <w:p w14:paraId="3E4ED023" w14:textId="32F2534D"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Grati</w:t>
            </w:r>
          </w:p>
        </w:tc>
        <w:tc>
          <w:tcPr>
            <w:tcW w:w="1107" w:type="dxa"/>
            <w:vAlign w:val="center"/>
          </w:tcPr>
          <w:p w14:paraId="70939525" w14:textId="15726EDE"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210</w:t>
            </w:r>
          </w:p>
        </w:tc>
        <w:tc>
          <w:tcPr>
            <w:tcW w:w="1238" w:type="dxa"/>
            <w:vAlign w:val="center"/>
          </w:tcPr>
          <w:p w14:paraId="68CDA2C0" w14:textId="5FF7C9BF"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Grati</w:t>
            </w:r>
          </w:p>
        </w:tc>
        <w:tc>
          <w:tcPr>
            <w:tcW w:w="1107" w:type="dxa"/>
            <w:vAlign w:val="center"/>
          </w:tcPr>
          <w:p w14:paraId="33E998C3" w14:textId="40038472"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210</w:t>
            </w:r>
          </w:p>
        </w:tc>
      </w:tr>
      <w:tr w:rsidR="00F04D5B" w14:paraId="6082E8A3" w14:textId="77777777" w:rsidTr="00F04D5B">
        <w:tc>
          <w:tcPr>
            <w:tcW w:w="1238" w:type="dxa"/>
            <w:vAlign w:val="center"/>
          </w:tcPr>
          <w:p w14:paraId="391D9E2C" w14:textId="6213EF79"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Pasuruan</w:t>
            </w:r>
          </w:p>
        </w:tc>
        <w:tc>
          <w:tcPr>
            <w:tcW w:w="1107" w:type="dxa"/>
            <w:vAlign w:val="center"/>
          </w:tcPr>
          <w:p w14:paraId="4049C551" w14:textId="31D6D0F8"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1.621</w:t>
            </w:r>
          </w:p>
        </w:tc>
        <w:tc>
          <w:tcPr>
            <w:tcW w:w="1238" w:type="dxa"/>
            <w:vAlign w:val="center"/>
          </w:tcPr>
          <w:p w14:paraId="69238B44" w14:textId="61FCDE02"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Pasuruan</w:t>
            </w:r>
          </w:p>
        </w:tc>
        <w:tc>
          <w:tcPr>
            <w:tcW w:w="1107" w:type="dxa"/>
            <w:vAlign w:val="center"/>
          </w:tcPr>
          <w:p w14:paraId="13A29D8D" w14:textId="3CDDCF57"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1.621</w:t>
            </w:r>
          </w:p>
        </w:tc>
      </w:tr>
      <w:tr w:rsidR="00F04D5B" w14:paraId="3ECACA8E" w14:textId="77777777" w:rsidTr="00F04D5B">
        <w:tc>
          <w:tcPr>
            <w:tcW w:w="1238" w:type="dxa"/>
            <w:shd w:val="clear" w:color="auto" w:fill="ADADAD" w:themeFill="background2" w:themeFillShade="BF"/>
            <w:vAlign w:val="center"/>
          </w:tcPr>
          <w:p w14:paraId="191B9609" w14:textId="77777777" w:rsidR="00F04D5B" w:rsidRPr="00196BE3"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Regentschap</w:t>
            </w:r>
          </w:p>
          <w:p w14:paraId="60AFD437" w14:textId="525785E0"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Pasuruan</w:t>
            </w:r>
          </w:p>
        </w:tc>
        <w:tc>
          <w:tcPr>
            <w:tcW w:w="1107" w:type="dxa"/>
            <w:shd w:val="clear" w:color="auto" w:fill="ADADAD" w:themeFill="background2" w:themeFillShade="BF"/>
            <w:vAlign w:val="center"/>
          </w:tcPr>
          <w:p w14:paraId="546D1D3E" w14:textId="02B7BB78"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2.208</w:t>
            </w:r>
          </w:p>
        </w:tc>
        <w:tc>
          <w:tcPr>
            <w:tcW w:w="1238" w:type="dxa"/>
            <w:shd w:val="clear" w:color="auto" w:fill="ADADAD" w:themeFill="background2" w:themeFillShade="BF"/>
            <w:vAlign w:val="center"/>
          </w:tcPr>
          <w:p w14:paraId="24680391" w14:textId="77777777" w:rsidR="00F04D5B" w:rsidRPr="00196BE3"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Regentschap</w:t>
            </w:r>
          </w:p>
          <w:p w14:paraId="7907B680" w14:textId="455D85AD"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Pasuruan</w:t>
            </w:r>
          </w:p>
        </w:tc>
        <w:tc>
          <w:tcPr>
            <w:tcW w:w="1107" w:type="dxa"/>
            <w:shd w:val="clear" w:color="auto" w:fill="ADADAD" w:themeFill="background2" w:themeFillShade="BF"/>
            <w:vAlign w:val="center"/>
          </w:tcPr>
          <w:p w14:paraId="37F14AAE" w14:textId="2FDE19F0" w:rsidR="00F04D5B" w:rsidRDefault="00F04D5B" w:rsidP="00F04D5B">
            <w:pPr>
              <w:pStyle w:val="ListParagraph"/>
              <w:ind w:left="0"/>
              <w:jc w:val="center"/>
              <w:rPr>
                <w:rFonts w:ascii="Times New Roman" w:hAnsi="Times New Roman" w:cs="Times New Roman"/>
                <w:sz w:val="20"/>
                <w:szCs w:val="20"/>
              </w:rPr>
            </w:pPr>
            <w:r w:rsidRPr="00196BE3">
              <w:rPr>
                <w:rFonts w:ascii="Times New Roman" w:hAnsi="Times New Roman" w:cs="Times New Roman"/>
                <w:sz w:val="20"/>
                <w:szCs w:val="20"/>
              </w:rPr>
              <w:t>2.208</w:t>
            </w:r>
          </w:p>
        </w:tc>
      </w:tr>
      <w:tr w:rsidR="00F04D5B" w14:paraId="1F3D99B0" w14:textId="77777777" w:rsidTr="00F04D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38" w:type="dxa"/>
          </w:tcPr>
          <w:p w14:paraId="4014D81D" w14:textId="77777777" w:rsidR="00F04D5B" w:rsidRDefault="00F04D5B" w:rsidP="00F04D5B">
            <w:pPr>
              <w:pStyle w:val="ListParagraph"/>
              <w:ind w:left="0"/>
              <w:rPr>
                <w:rFonts w:ascii="Times New Roman" w:hAnsi="Times New Roman" w:cs="Times New Roman"/>
                <w:sz w:val="20"/>
                <w:szCs w:val="20"/>
              </w:rPr>
            </w:pPr>
          </w:p>
        </w:tc>
        <w:tc>
          <w:tcPr>
            <w:tcW w:w="1107" w:type="dxa"/>
          </w:tcPr>
          <w:p w14:paraId="7AB39697" w14:textId="77777777" w:rsidR="00F04D5B" w:rsidRDefault="00F04D5B" w:rsidP="007825A3">
            <w:pPr>
              <w:pStyle w:val="ListParagraph"/>
              <w:ind w:left="0"/>
              <w:jc w:val="center"/>
              <w:rPr>
                <w:rFonts w:ascii="Times New Roman" w:hAnsi="Times New Roman" w:cs="Times New Roman"/>
                <w:sz w:val="20"/>
                <w:szCs w:val="20"/>
              </w:rPr>
            </w:pPr>
          </w:p>
        </w:tc>
        <w:tc>
          <w:tcPr>
            <w:tcW w:w="1238" w:type="dxa"/>
          </w:tcPr>
          <w:p w14:paraId="56A518B0" w14:textId="77777777" w:rsidR="00F04D5B" w:rsidRDefault="00F04D5B" w:rsidP="007825A3">
            <w:pPr>
              <w:pStyle w:val="ListParagraph"/>
              <w:ind w:left="0"/>
              <w:jc w:val="center"/>
              <w:rPr>
                <w:rFonts w:ascii="Times New Roman" w:hAnsi="Times New Roman" w:cs="Times New Roman"/>
                <w:sz w:val="20"/>
                <w:szCs w:val="20"/>
              </w:rPr>
            </w:pPr>
          </w:p>
        </w:tc>
        <w:tc>
          <w:tcPr>
            <w:tcW w:w="1107" w:type="dxa"/>
          </w:tcPr>
          <w:p w14:paraId="16B0FF44" w14:textId="77777777" w:rsidR="00F04D5B" w:rsidRDefault="00F04D5B" w:rsidP="007825A3">
            <w:pPr>
              <w:pStyle w:val="ListParagraph"/>
              <w:ind w:left="0"/>
              <w:jc w:val="center"/>
              <w:rPr>
                <w:rFonts w:ascii="Times New Roman" w:hAnsi="Times New Roman" w:cs="Times New Roman"/>
                <w:sz w:val="20"/>
                <w:szCs w:val="20"/>
              </w:rPr>
            </w:pPr>
          </w:p>
        </w:tc>
      </w:tr>
    </w:tbl>
    <w:p w14:paraId="1E56E8D6" w14:textId="317E0D80" w:rsidR="00E83AC6" w:rsidRPr="00196BE3" w:rsidRDefault="00E83AC6" w:rsidP="007825A3">
      <w:pPr>
        <w:pStyle w:val="ListParagraph"/>
        <w:spacing w:after="0" w:line="240" w:lineRule="auto"/>
        <w:ind w:left="0"/>
        <w:jc w:val="center"/>
        <w:rPr>
          <w:rFonts w:ascii="Times New Roman" w:hAnsi="Times New Roman" w:cs="Times New Roman"/>
          <w:sz w:val="20"/>
          <w:szCs w:val="20"/>
        </w:rPr>
      </w:pPr>
      <w:r w:rsidRPr="00196BE3">
        <w:rPr>
          <w:rFonts w:ascii="Times New Roman" w:hAnsi="Times New Roman" w:cs="Times New Roman"/>
          <w:sz w:val="20"/>
          <w:szCs w:val="20"/>
        </w:rPr>
        <w:t>Tabel 2.1 Sensus Penduduk masyarakat Tionghoa di Pasuruan</w:t>
      </w:r>
    </w:p>
    <w:p w14:paraId="072F219A" w14:textId="77777777" w:rsidR="00E83AC6" w:rsidRPr="00196BE3" w:rsidRDefault="00E83AC6" w:rsidP="007825A3">
      <w:pPr>
        <w:pStyle w:val="ListParagraph"/>
        <w:spacing w:after="0" w:line="240" w:lineRule="auto"/>
        <w:ind w:left="0"/>
        <w:jc w:val="center"/>
        <w:rPr>
          <w:rFonts w:ascii="Times New Roman" w:hAnsi="Times New Roman" w:cs="Times New Roman"/>
          <w:sz w:val="20"/>
          <w:szCs w:val="20"/>
        </w:rPr>
      </w:pPr>
      <w:r w:rsidRPr="00196BE3">
        <w:rPr>
          <w:rFonts w:ascii="Times New Roman" w:hAnsi="Times New Roman" w:cs="Times New Roman"/>
          <w:sz w:val="20"/>
          <w:szCs w:val="20"/>
        </w:rPr>
        <w:t>Sumber : Dokumen Volkstelling 1930 Volume VII : Chinese And Other Non-Indigenous Orientals In The Netherlands Indies, hlm. 173.</w:t>
      </w:r>
    </w:p>
    <w:p w14:paraId="7874E973" w14:textId="77777777" w:rsidR="00E83AC6" w:rsidRPr="00196BE3" w:rsidRDefault="00E83AC6" w:rsidP="007825A3">
      <w:pPr>
        <w:pStyle w:val="ListParagraph"/>
        <w:spacing w:after="0" w:line="240" w:lineRule="auto"/>
        <w:ind w:left="0"/>
        <w:jc w:val="center"/>
        <w:rPr>
          <w:rFonts w:ascii="Times New Roman" w:hAnsi="Times New Roman" w:cs="Times New Roman"/>
          <w:sz w:val="20"/>
          <w:szCs w:val="20"/>
        </w:rPr>
      </w:pPr>
    </w:p>
    <w:p w14:paraId="468AF859" w14:textId="155D00FA" w:rsidR="00E83AC6" w:rsidRPr="00196BE3" w:rsidRDefault="00F04D5B" w:rsidP="007825A3">
      <w:pPr>
        <w:pStyle w:val="ListParagraph"/>
        <w:spacing w:after="0" w:line="240" w:lineRule="auto"/>
        <w:ind w:left="0" w:firstLine="720"/>
        <w:jc w:val="both"/>
        <w:rPr>
          <w:rFonts w:ascii="Times New Roman" w:hAnsi="Times New Roman" w:cs="Times New Roman"/>
          <w:sz w:val="20"/>
          <w:szCs w:val="20"/>
        </w:rPr>
      </w:pPr>
      <w:r>
        <w:rPr>
          <w:rFonts w:ascii="Times New Roman" w:hAnsi="Times New Roman" w:cs="Times New Roman"/>
          <w:sz w:val="20"/>
          <w:szCs w:val="20"/>
        </w:rPr>
        <w:t>Dikutip dari data tersebut po</w:t>
      </w:r>
      <w:r w:rsidR="00E83AC6" w:rsidRPr="00196BE3">
        <w:rPr>
          <w:rFonts w:ascii="Times New Roman" w:hAnsi="Times New Roman" w:cs="Times New Roman"/>
          <w:sz w:val="20"/>
          <w:szCs w:val="20"/>
        </w:rPr>
        <w:t>pulasi etnis Tionghoa tercatat cukup tinggi, dengan jumlah total penduduk dari semua distrik di regentschap Pasuruan mencapai 4.108 jiwa.</w:t>
      </w:r>
      <w:r w:rsidR="00B40166">
        <w:rPr>
          <w:rFonts w:ascii="Times New Roman" w:hAnsi="Times New Roman" w:cs="Times New Roman"/>
          <w:sz w:val="20"/>
          <w:szCs w:val="20"/>
        </w:rPr>
        <w:t xml:space="preserve"> </w:t>
      </w:r>
      <w:r w:rsidR="00E83AC6" w:rsidRPr="00196BE3">
        <w:rPr>
          <w:rFonts w:ascii="Times New Roman" w:hAnsi="Times New Roman" w:cs="Times New Roman"/>
          <w:sz w:val="20"/>
          <w:szCs w:val="20"/>
        </w:rPr>
        <w:t xml:space="preserve">Sesuai dengan penerapan dari kebijakan </w:t>
      </w:r>
      <w:r w:rsidR="00E83AC6" w:rsidRPr="00196BE3">
        <w:rPr>
          <w:rFonts w:ascii="Times New Roman" w:hAnsi="Times New Roman" w:cs="Times New Roman"/>
          <w:i/>
          <w:iCs/>
          <w:sz w:val="20"/>
          <w:szCs w:val="20"/>
        </w:rPr>
        <w:t>wijkenstelsel</w:t>
      </w:r>
      <w:r w:rsidR="00E83AC6" w:rsidRPr="00196BE3">
        <w:rPr>
          <w:rFonts w:ascii="Times New Roman" w:hAnsi="Times New Roman" w:cs="Times New Roman"/>
          <w:sz w:val="20"/>
          <w:szCs w:val="20"/>
        </w:rPr>
        <w:t xml:space="preserve"> kawasan pecinan menjadi pusat permukiman Tionghoa Pasuruan, kawasan ini terbentuk seiring dengan kedatangan awal komunitas tersebut. Lokasi ini dibuktikan dengan adanya tempat ibadah yaitu Klenteng, dan layaknya komunitas Tionghoa di Indonesia pada umumnya, masyarakat Tionghoa di Pasuruan juga membentuk pola permukiman di kawasan yang berorientasi pada sektor perdagangan, sebab mayoritas mata pencaharian masyarakat Tionghoa di Pasuruan yaitu berdagang, hal ini terlihat dari kawasan pecinan yang sampai sekarang banyak bangunan rumah toko yang berfungsi sebagai toko pada rumah bagian depan dan tempat tinggal dibagian rumah bagian belakang atau di lantai dua. Pemerintah Kolonial juga mengangkat jabatan Opsir sebagai perpanjangan tangan mereka untuk mengontrol masyarakat Tionghoa di tengah keragaman etnis lain yang bermukim di Pasuruan.</w:t>
      </w:r>
    </w:p>
    <w:p w14:paraId="1D0E017C" w14:textId="3A6A72FE" w:rsidR="00513C24" w:rsidRPr="00196BE3" w:rsidRDefault="00513C24" w:rsidP="007825A3">
      <w:pPr>
        <w:pStyle w:val="ListParagraph"/>
        <w:spacing w:after="0" w:line="240" w:lineRule="auto"/>
        <w:ind w:left="0" w:firstLine="720"/>
        <w:jc w:val="both"/>
        <w:rPr>
          <w:rFonts w:ascii="Times New Roman" w:hAnsi="Times New Roman" w:cs="Times New Roman"/>
          <w:sz w:val="20"/>
          <w:szCs w:val="20"/>
        </w:rPr>
      </w:pPr>
    </w:p>
    <w:p w14:paraId="31843415" w14:textId="42DF3F98" w:rsidR="00E83AC6" w:rsidRPr="00196BE3" w:rsidRDefault="00513C24">
      <w:pPr>
        <w:pStyle w:val="ListParagraph"/>
        <w:numPr>
          <w:ilvl w:val="0"/>
          <w:numId w:val="1"/>
        </w:numPr>
        <w:spacing w:after="0" w:line="240" w:lineRule="auto"/>
        <w:jc w:val="both"/>
        <w:rPr>
          <w:rFonts w:ascii="Times New Roman" w:hAnsi="Times New Roman" w:cs="Times New Roman"/>
          <w:b/>
          <w:bCs/>
          <w:sz w:val="20"/>
          <w:szCs w:val="20"/>
        </w:rPr>
      </w:pPr>
      <w:r w:rsidRPr="00196BE3">
        <w:rPr>
          <w:rFonts w:ascii="Times New Roman" w:hAnsi="Times New Roman" w:cs="Times New Roman"/>
          <w:b/>
          <w:bCs/>
          <w:sz w:val="20"/>
          <w:szCs w:val="20"/>
        </w:rPr>
        <w:t>Terbentuknya Sekolah THHK Pasuruan</w:t>
      </w:r>
    </w:p>
    <w:p w14:paraId="7F1B0A3A" w14:textId="77777777" w:rsidR="009B4811" w:rsidRPr="009B4811" w:rsidRDefault="00513C24" w:rsidP="009B4811">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Terbentuknya THHK Pasuruan diprakarsai oleh Kang Youwei yang merupakan salah satu tokoh dalam pergolakan politik di Tiongkok pada masa Dinasti Qing, dimana beliau berperan sebagai pemimpin dari pergerakan Reformasi 100 Hari pada tahun 1898 yang bertujuan memodernisasi Tiongkok di bawah Kaisar Guangxu. Reformasi 100 Hari bertujuan untuk mengubah Tiongkok </w:t>
      </w:r>
      <w:r w:rsidRPr="00196BE3">
        <w:rPr>
          <w:rFonts w:ascii="Times New Roman" w:hAnsi="Times New Roman" w:cs="Times New Roman"/>
          <w:sz w:val="20"/>
          <w:szCs w:val="20"/>
        </w:rPr>
        <w:t>secara fundamental ke arah modern</w:t>
      </w:r>
      <w:r w:rsidR="00F04D5B">
        <w:rPr>
          <w:rFonts w:ascii="Times New Roman" w:hAnsi="Times New Roman" w:cs="Times New Roman"/>
          <w:sz w:val="20"/>
          <w:szCs w:val="20"/>
        </w:rPr>
        <w:t xml:space="preserve"> Wong </w:t>
      </w:r>
      <w:r w:rsidR="004E0CBB">
        <w:rPr>
          <w:rFonts w:ascii="Times New Roman" w:hAnsi="Times New Roman" w:cs="Times New Roman"/>
          <w:sz w:val="20"/>
          <w:szCs w:val="20"/>
          <w:vertAlign w:val="superscript"/>
        </w:rPr>
        <w:fldChar w:fldCharType="begin" w:fldLock="1"/>
      </w:r>
      <w:r w:rsidR="00F04D5B">
        <w:rPr>
          <w:rFonts w:ascii="Times New Roman" w:hAnsi="Times New Roman" w:cs="Times New Roman"/>
          <w:sz w:val="20"/>
          <w:szCs w:val="20"/>
        </w:rPr>
        <w:instrText>ADDIN CSL_CITATION {"citationItems":[{"id":"ITEM-1","itemData":{"author":[{"dropping-particle":"","family":"Wong","given":"Young-Tsu","non-dropping-particle":"","parse-names":false,"suffix":""}],"container-title":"The Journal of Asian Studies","id":"ITEM-1","issued":{"date-parts":[["2011"]]},"title":"Revisionism Reconsidered: Kang Youwei and the Reform Movement of 1898","type":"article-journal"},"uris":["http://www.mendeley.com/documents/?uuid=f697e30e-5e4a-4104-802b-9db54ab18ab2"]}],"mendeley":{"formattedCitation":"(Wong, 2011)","manualFormatting":"(2011)","plainTextFormattedCitation":"(Wong, 2011)","previouslyFormattedCitation":"(Wong, 2011)"},"properties":{"noteIndex":0},"schema":"https://github.com/citation-style-language/schema/raw/master/csl-citation.json"}</w:instrText>
      </w:r>
      <w:r w:rsidR="004E0CBB">
        <w:rPr>
          <w:rFonts w:ascii="Times New Roman" w:hAnsi="Times New Roman" w:cs="Times New Roman"/>
          <w:sz w:val="20"/>
          <w:szCs w:val="20"/>
          <w:vertAlign w:val="superscript"/>
        </w:rPr>
        <w:fldChar w:fldCharType="separate"/>
      </w:r>
      <w:r w:rsidR="004E0CBB" w:rsidRPr="004E0CBB">
        <w:rPr>
          <w:rFonts w:ascii="Times New Roman" w:hAnsi="Times New Roman" w:cs="Times New Roman"/>
          <w:noProof/>
          <w:sz w:val="20"/>
          <w:szCs w:val="20"/>
        </w:rPr>
        <w:t>(2011)</w:t>
      </w:r>
      <w:r w:rsidR="004E0CBB">
        <w:rPr>
          <w:rFonts w:ascii="Times New Roman" w:hAnsi="Times New Roman" w:cs="Times New Roman"/>
          <w:sz w:val="20"/>
          <w:szCs w:val="20"/>
          <w:vertAlign w:val="superscript"/>
        </w:rPr>
        <w:fldChar w:fldCharType="end"/>
      </w:r>
      <w:r w:rsidR="00F04D5B">
        <w:rPr>
          <w:rFonts w:ascii="Times New Roman" w:hAnsi="Times New Roman" w:cs="Times New Roman"/>
          <w:sz w:val="20"/>
          <w:szCs w:val="20"/>
        </w:rPr>
        <w:t xml:space="preserve">. </w:t>
      </w:r>
      <w:r w:rsidRPr="00196BE3">
        <w:rPr>
          <w:rFonts w:ascii="Times New Roman" w:hAnsi="Times New Roman" w:cs="Times New Roman"/>
          <w:sz w:val="20"/>
          <w:szCs w:val="20"/>
        </w:rPr>
        <w:t xml:space="preserve">Mereka menginginkan Tiongkok menjadi negara modern secara ekonomi dan teknologi tanpa harus kehilangan kedaulatan maupun identitas nasional. Para reformis mengusulkan sistem monarki konstitusional agar kekuasaan Kaisar dibatasi oleh parlemen. Perubahan ini bertujuan membatasi kekuasaan mutlak Kaisar, dimana Kaisar berbagi kekuasaan dengan parlemen yang dipilih rakyat. Dengan cara ini, pemerintahan Tiongkok diharapkan menjadi lebih transparan. dan lebih berpihak kepada rakyat. Meskipun Reformasi 100 Hari akhirnya gagal akibat perlawanan kelompok konservatif. </w:t>
      </w:r>
      <w:r w:rsidR="009B4811" w:rsidRPr="009B4811">
        <w:rPr>
          <w:rFonts w:ascii="Times New Roman" w:hAnsi="Times New Roman" w:cs="Times New Roman"/>
          <w:sz w:val="20"/>
          <w:szCs w:val="20"/>
        </w:rPr>
        <w:t>Pemikiran yang dicetuskan para reformis ini justru menjadi inspirasi bagi berbagai gerakan lain, terutama Sun Yat Sen yang berhasil menginisiasi Revolusi Xinhai pada 1911 yang mengakibatkan runtuhnya Dinasti Qing dan mengawali berdirinya Republik Tiongkok setahun kemudian pada 1912.</w:t>
      </w:r>
    </w:p>
    <w:p w14:paraId="7033AC57" w14:textId="55F9E9F7" w:rsidR="00513C24" w:rsidRPr="00196BE3" w:rsidRDefault="00513C24"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Reformasi 100 Hari yang mengalami kegagalan memaksa Kang Youwei untuk melarikan diri keluar dari Tiongkok dan mengembara ke berbagai negara di dunia seperti Jepang, Malaysia, Singapura, Indonesia Kanada, Australia, Serbia dan lain sebagainya. Beliau akhirnya kembali ke Tiongkok pada tahun 1913, menghabiskan sisa hidupnya di Qingdao hingga wafat pada tahun 1927 kemudian dimakamkan di Hong Kong. Dalam pelarian tersebut Kang Youwei sempat mengunjungi wilayah Indonesia tepatnya pada tahun 1903. Kang Youwei yang pada saat itu melihat langsung bagaimana THHK Batavia dapat terimplementasikan dengan baik dan mulai mengajak para perantau agar lebih bersatu dengan cara menginisiasi organisasi serupa di berbagai kawasan yang ia singgahi, termasuk di Pasuruan. Setibanya di Pasuruan, iaa mengundang para perantau Tionghoa untuk berkumpul di Klenteng Tjoe Tik Kiong Pasuruan. Setibanya disana ia menyampaikan pidato di halaman Klenteng Tjoe Tik Kiong yang diyakini telah berdiri sejak abad ke-17 jauh sebelum kedatangan Kang Youwei.</w:t>
      </w:r>
    </w:p>
    <w:p w14:paraId="7D028F94" w14:textId="77777777" w:rsidR="00513C24" w:rsidRPr="00196BE3" w:rsidRDefault="00513C24"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Setelah mendengarkan pidato dari Kang Youwei yang menginginkan agar para perantau tidak kehilangan akar jati dirinya dalam aspek tradisi, sejarah, serta budaya dari tanah kelahiran mereka melalui pendidikan bagi anak-anak Tionghoa yang layak dan lebih terstruktur. Kelompok masyarakat Tionghoa Pasuruan segera bergserak cepat. Mereka mulai mengumpulkan dukungan, menyusun rencana pembentukan yayasan THHK, dan berhasil membentuk struktur kepengurusan untuk merealisasikan tujuan tersebut. Hasil keputusan rapat menetapkan Han Hoo Tong sebagai Ketua Organisasi yang bertanggung jawab atas manajemen institusi secara keseluruhan. Pada tahun yang sama yaitu 1903 perkumpulan THHK Pasuruan mulai dibentuk dan diresmikan setahun kemudian pada 1904 dengan mengambil tempat di Klenteng Tjoe Tik Kiong.</w:t>
      </w:r>
    </w:p>
    <w:p w14:paraId="0460EF7F" w14:textId="2855E981" w:rsidR="00513C24" w:rsidRPr="000677DD" w:rsidRDefault="00513C24"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Berdirinya sekolah T</w:t>
      </w:r>
      <w:r w:rsidR="00F04D5B">
        <w:rPr>
          <w:rFonts w:ascii="Times New Roman" w:hAnsi="Times New Roman" w:cs="Times New Roman"/>
          <w:sz w:val="20"/>
          <w:szCs w:val="20"/>
        </w:rPr>
        <w:t xml:space="preserve">HHK </w:t>
      </w:r>
      <w:r w:rsidRPr="00196BE3">
        <w:rPr>
          <w:rFonts w:ascii="Times New Roman" w:hAnsi="Times New Roman" w:cs="Times New Roman"/>
          <w:sz w:val="20"/>
          <w:szCs w:val="20"/>
        </w:rPr>
        <w:t xml:space="preserve">Pasuruan menandai dimulainya era pendidikan Tionghoa modern di Pasuruan. Pendirian ini dibuka secara simbolis dengan pemasangan inkripsi berupa papan nama berbahan kayu jati bertuliskan “Tiong Hoa Hwee Kwan” merupakan tulisan tangan Kang You Wei digantung di pintu gerbang timur Klenteng Tjoe Tik Kiong. Pada awalnya THHK merupakan yayasan yang </w:t>
      </w:r>
      <w:r w:rsidRPr="00196BE3">
        <w:rPr>
          <w:rFonts w:ascii="Times New Roman" w:hAnsi="Times New Roman" w:cs="Times New Roman"/>
          <w:sz w:val="20"/>
          <w:szCs w:val="20"/>
        </w:rPr>
        <w:lastRenderedPageBreak/>
        <w:t xml:space="preserve">menaungi para perantau Tionghoa agar mereka tidak melupakan tradisi, sejarah, serta budaya dari tanah kelahiran mereka melalui pendidikan. Sehingga didirikannya Sekolah THHK dengan tujuan mengisi kekosongan lembaga pendidikan formal. Sebab pada saat itu di Kota Pasuruan tidak tersedia akses pendidikan formal bagi masyarakat Tionghoa. Di era tersebut, pemerintah kolonial Belanda hanya menyediakan 2 jenis sekolah di Pasuruan yaitu (1) </w:t>
      </w:r>
      <w:r w:rsidRPr="00196BE3">
        <w:rPr>
          <w:rFonts w:ascii="Times New Roman" w:hAnsi="Times New Roman" w:cs="Times New Roman"/>
          <w:i/>
          <w:iCs/>
          <w:sz w:val="20"/>
          <w:szCs w:val="20"/>
        </w:rPr>
        <w:t>Europeesche Lagere School</w:t>
      </w:r>
      <w:r w:rsidRPr="00196BE3">
        <w:rPr>
          <w:rFonts w:ascii="Times New Roman" w:hAnsi="Times New Roman" w:cs="Times New Roman"/>
          <w:sz w:val="20"/>
          <w:szCs w:val="20"/>
        </w:rPr>
        <w:t xml:space="preserve"> yang didirikan pada tahun 1837 di </w:t>
      </w:r>
      <w:r w:rsidRPr="00196BE3">
        <w:rPr>
          <w:rFonts w:ascii="Times New Roman" w:hAnsi="Times New Roman" w:cs="Times New Roman"/>
          <w:i/>
          <w:iCs/>
          <w:sz w:val="20"/>
          <w:szCs w:val="20"/>
        </w:rPr>
        <w:t>Heerenstraa</w:t>
      </w:r>
      <w:r w:rsidR="00497F2F">
        <w:rPr>
          <w:rFonts w:ascii="Times New Roman" w:hAnsi="Times New Roman" w:cs="Times New Roman"/>
          <w:i/>
          <w:iCs/>
          <w:sz w:val="20"/>
          <w:szCs w:val="20"/>
        </w:rPr>
        <w:t>t.</w:t>
      </w:r>
      <w:r w:rsidR="00497F2F">
        <w:rPr>
          <w:rStyle w:val="FootnoteReference"/>
          <w:rFonts w:ascii="Times New Roman" w:hAnsi="Times New Roman" w:cs="Times New Roman"/>
          <w:i/>
          <w:iCs/>
          <w:sz w:val="20"/>
          <w:szCs w:val="20"/>
        </w:rPr>
        <w:footnoteReference w:id="2"/>
      </w:r>
      <w:r w:rsidRPr="00196BE3">
        <w:rPr>
          <w:rFonts w:ascii="Times New Roman" w:hAnsi="Times New Roman" w:cs="Times New Roman"/>
          <w:sz w:val="20"/>
          <w:szCs w:val="20"/>
        </w:rPr>
        <w:t xml:space="preserve"> ELS merupakan sekolah tingkat dasar yang eksklusif bagi anak-anak keturunan Eropa</w:t>
      </w:r>
      <w:r w:rsidR="00F04D5B">
        <w:rPr>
          <w:rFonts w:ascii="Times New Roman" w:hAnsi="Times New Roman" w:cs="Times New Roman"/>
          <w:sz w:val="20"/>
          <w:szCs w:val="20"/>
        </w:rPr>
        <w:t xml:space="preserve"> Budiman </w:t>
      </w:r>
      <w:r w:rsidR="004E0CBB">
        <w:rPr>
          <w:rFonts w:ascii="Times New Roman" w:hAnsi="Times New Roman" w:cs="Times New Roman"/>
          <w:sz w:val="20"/>
          <w:szCs w:val="20"/>
          <w:vertAlign w:val="superscript"/>
        </w:rPr>
        <w:fldChar w:fldCharType="begin" w:fldLock="1"/>
      </w:r>
      <w:r w:rsidR="00F04D5B">
        <w:rPr>
          <w:rFonts w:ascii="Times New Roman" w:hAnsi="Times New Roman" w:cs="Times New Roman"/>
          <w:sz w:val="20"/>
          <w:szCs w:val="20"/>
        </w:rPr>
        <w:instrText>ADDIN CSL_CITATION {"citationItems":[{"id":"ITEM-1","itemData":{"author":[{"dropping-particle":"","family":"Budiman","given":"Achmad","non-dropping-particle":"","parse-names":false,"suffix":""}],"container-title":"Anjani.id","id":"ITEM-1","issued":{"date-parts":[["2025"]]},"title":"Europeesche Gemengde Lagere School te Pasoeroean, Sekarang Gedung SDN Pekuncen Kota Pasuruan","type":"webpage"},"uris":["http://www.mendeley.com/documents/?uuid=839c5e54-ce73-45f9-98f2-19005da7f38c","http://www.mendeley.com/documents/?uuid=063006b7-b81c-4a87-b957-fa1bdb336138","http://www.mendeley.com/documents/?uuid=84cdbc87-e29c-4ec6-8c13-b720a5f16f8b"]}],"mendeley":{"formattedCitation":"(Budiman, 2025)","manualFormatting":"(2025)","plainTextFormattedCitation":"(Budiman, 2025)","previouslyFormattedCitation":"(Budiman, 2025)"},"properties":{"noteIndex":0},"schema":"https://github.com/citation-style-language/schema/raw/master/csl-citation.json"}</w:instrText>
      </w:r>
      <w:r w:rsidR="004E0CBB">
        <w:rPr>
          <w:rFonts w:ascii="Times New Roman" w:hAnsi="Times New Roman" w:cs="Times New Roman"/>
          <w:sz w:val="20"/>
          <w:szCs w:val="20"/>
          <w:vertAlign w:val="superscript"/>
        </w:rPr>
        <w:fldChar w:fldCharType="separate"/>
      </w:r>
      <w:r w:rsidR="004E0CBB" w:rsidRPr="004E0CBB">
        <w:rPr>
          <w:rFonts w:ascii="Times New Roman" w:hAnsi="Times New Roman" w:cs="Times New Roman"/>
          <w:noProof/>
          <w:sz w:val="20"/>
          <w:szCs w:val="20"/>
        </w:rPr>
        <w:t>(2025)</w:t>
      </w:r>
      <w:r w:rsidR="004E0CBB">
        <w:rPr>
          <w:rFonts w:ascii="Times New Roman" w:hAnsi="Times New Roman" w:cs="Times New Roman"/>
          <w:sz w:val="20"/>
          <w:szCs w:val="20"/>
          <w:vertAlign w:val="superscript"/>
        </w:rPr>
        <w:fldChar w:fldCharType="end"/>
      </w:r>
      <w:r w:rsidRPr="00196BE3">
        <w:rPr>
          <w:rFonts w:ascii="Times New Roman" w:hAnsi="Times New Roman" w:cs="Times New Roman"/>
          <w:sz w:val="20"/>
          <w:szCs w:val="20"/>
        </w:rPr>
        <w:t xml:space="preserve">. Pelajaran yang diajarkan yaitu menulis, membaca, berhitung, Bahasa Belanda, dan ilmu </w:t>
      </w:r>
      <w:r w:rsidRPr="00497F2F">
        <w:rPr>
          <w:rFonts w:ascii="Times New Roman" w:hAnsi="Times New Roman" w:cs="Times New Roman"/>
          <w:sz w:val="20"/>
          <w:szCs w:val="20"/>
        </w:rPr>
        <w:t xml:space="preserve">bumi. Kemudian (2) </w:t>
      </w:r>
      <w:r w:rsidRPr="00497F2F">
        <w:rPr>
          <w:rFonts w:ascii="Times New Roman" w:hAnsi="Times New Roman" w:cs="Times New Roman"/>
          <w:i/>
          <w:iCs/>
          <w:sz w:val="20"/>
          <w:szCs w:val="20"/>
        </w:rPr>
        <w:t>Inlandsche School</w:t>
      </w:r>
      <w:r w:rsidRPr="00497F2F">
        <w:rPr>
          <w:rFonts w:ascii="Times New Roman" w:hAnsi="Times New Roman" w:cs="Times New Roman"/>
          <w:sz w:val="20"/>
          <w:szCs w:val="20"/>
        </w:rPr>
        <w:t xml:space="preserve"> atau yang lebih dikenal sebagai Sekolah </w:t>
      </w:r>
      <w:r w:rsidR="00497F2F" w:rsidRPr="00497F2F">
        <w:rPr>
          <w:rFonts w:ascii="Times New Roman" w:hAnsi="Times New Roman" w:cs="Times New Roman"/>
          <w:sz w:val="20"/>
          <w:szCs w:val="20"/>
        </w:rPr>
        <w:t>Bumiputera</w:t>
      </w:r>
      <w:r w:rsidRPr="00497F2F">
        <w:rPr>
          <w:rFonts w:ascii="Times New Roman" w:hAnsi="Times New Roman" w:cs="Times New Roman"/>
          <w:sz w:val="20"/>
          <w:szCs w:val="20"/>
        </w:rPr>
        <w:t xml:space="preserve"> didirikan oleh pemerintah kolonial pada tahun 1850</w:t>
      </w:r>
      <w:r w:rsidR="00497F2F" w:rsidRPr="00497F2F">
        <w:rPr>
          <w:rStyle w:val="FootnoteReference"/>
          <w:rFonts w:ascii="Times New Roman" w:hAnsi="Times New Roman" w:cs="Times New Roman"/>
          <w:sz w:val="20"/>
          <w:szCs w:val="20"/>
        </w:rPr>
        <w:footnoteReference w:id="3"/>
      </w:r>
      <w:r w:rsidR="00497F2F" w:rsidRPr="00497F2F">
        <w:rPr>
          <w:rFonts w:ascii="Times New Roman" w:hAnsi="Times New Roman" w:cs="Times New Roman"/>
          <w:sz w:val="20"/>
          <w:szCs w:val="20"/>
        </w:rPr>
        <w:t xml:space="preserve"> Firmani </w:t>
      </w:r>
      <w:r w:rsidR="004E0CBB" w:rsidRPr="00497F2F">
        <w:rPr>
          <w:rFonts w:ascii="Times New Roman" w:hAnsi="Times New Roman" w:cs="Times New Roman"/>
          <w:sz w:val="20"/>
          <w:szCs w:val="20"/>
          <w:vertAlign w:val="superscript"/>
        </w:rPr>
        <w:fldChar w:fldCharType="begin" w:fldLock="1"/>
      </w:r>
      <w:r w:rsidR="00497F2F">
        <w:rPr>
          <w:rFonts w:ascii="Times New Roman" w:hAnsi="Times New Roman" w:cs="Times New Roman"/>
          <w:sz w:val="20"/>
          <w:szCs w:val="20"/>
        </w:rPr>
        <w:instrText>ADDIN CSL_CITATION {"citationItems":[{"id":"ITEM-1","itemData":{"author":[{"dropping-particle":"","family":"Firmani","given":"Fahrizal","non-dropping-particle":"","parse-names":false,"suffix":""}],"container-title":"PT Probolinggo Intermedia Pers","id":"ITEM-1","issued":{"date-parts":[["2025"]]},"title":"Mengunjungi SDN Bangilan Kota Pasuruan, Sekolah Pribumi Tertua di Indonesia","type":"webpage"},"uris":["http://www.mendeley.com/documents/?uuid=6d2c3416-6c1e-4898-94d3-966e55ab2105","http://www.mendeley.com/documents/?uuid=5b6f1a9e-90fe-4392-97d4-c0954e568bfd","http://www.mendeley.com/documents/?uuid=5be3ac32-766a-4f82-97cc-7218a8ccb6b1"]}],"mendeley":{"formattedCitation":"(Firmani, 2025)","manualFormatting":"(2025)","plainTextFormattedCitation":"(Firmani, 2025)","previouslyFormattedCitation":"(Firmani, 2025)"},"properties":{"noteIndex":0},"schema":"https://github.com/citation-style-language/schema/raw/master/csl-citation.json"}</w:instrText>
      </w:r>
      <w:r w:rsidR="004E0CBB" w:rsidRPr="00497F2F">
        <w:rPr>
          <w:rFonts w:ascii="Times New Roman" w:hAnsi="Times New Roman" w:cs="Times New Roman"/>
          <w:sz w:val="20"/>
          <w:szCs w:val="20"/>
          <w:vertAlign w:val="superscript"/>
        </w:rPr>
        <w:fldChar w:fldCharType="separate"/>
      </w:r>
      <w:r w:rsidR="004E0CBB" w:rsidRPr="00497F2F">
        <w:rPr>
          <w:rFonts w:ascii="Times New Roman" w:hAnsi="Times New Roman" w:cs="Times New Roman"/>
          <w:noProof/>
          <w:sz w:val="20"/>
          <w:szCs w:val="20"/>
        </w:rPr>
        <w:t>(2025)</w:t>
      </w:r>
      <w:r w:rsidR="004E0CBB" w:rsidRPr="00497F2F">
        <w:rPr>
          <w:rFonts w:ascii="Times New Roman" w:hAnsi="Times New Roman" w:cs="Times New Roman"/>
          <w:sz w:val="20"/>
          <w:szCs w:val="20"/>
          <w:vertAlign w:val="superscript"/>
        </w:rPr>
        <w:fldChar w:fldCharType="end"/>
      </w:r>
      <w:r w:rsidRPr="00497F2F">
        <w:rPr>
          <w:rFonts w:ascii="Times New Roman" w:hAnsi="Times New Roman" w:cs="Times New Roman"/>
          <w:sz w:val="20"/>
          <w:szCs w:val="20"/>
        </w:rPr>
        <w:t xml:space="preserve"> Sekolah yang terleatak tepat disebelah utara alun-alun Pasuruan ini, merupakan jalan utama untuk meningkatkan status sosial bagi masyarakat</w:t>
      </w:r>
      <w:r w:rsidRPr="00196BE3">
        <w:rPr>
          <w:rFonts w:ascii="Times New Roman" w:hAnsi="Times New Roman" w:cs="Times New Roman"/>
          <w:sz w:val="20"/>
          <w:szCs w:val="20"/>
        </w:rPr>
        <w:t xml:space="preserve"> pribumi sebab sekolah ini pada awalnya diperuntukkan bagi anak-anak pejabat pribumi saja. Setelah adanya Politik Etis sekolah ini bisa dimasuki oleh anak-anak pribumi semua golongan</w:t>
      </w:r>
      <w:r w:rsidR="000677DD">
        <w:rPr>
          <w:rFonts w:ascii="Times New Roman" w:hAnsi="Times New Roman" w:cs="Times New Roman"/>
          <w:sz w:val="20"/>
          <w:szCs w:val="20"/>
        </w:rPr>
        <w:t xml:space="preserve"> </w:t>
      </w:r>
      <w:r w:rsidR="00F04D5B">
        <w:rPr>
          <w:rFonts w:ascii="Times New Roman" w:hAnsi="Times New Roman" w:cs="Times New Roman"/>
          <w:sz w:val="20"/>
          <w:szCs w:val="20"/>
        </w:rPr>
        <w:t xml:space="preserve">Nasution </w:t>
      </w:r>
      <w:r w:rsidR="000677DD">
        <w:rPr>
          <w:rFonts w:ascii="Times New Roman" w:hAnsi="Times New Roman" w:cs="Times New Roman"/>
          <w:sz w:val="20"/>
          <w:szCs w:val="20"/>
        </w:rPr>
        <w:t>(1983)</w:t>
      </w:r>
      <w:r w:rsidR="00F04D5B">
        <w:rPr>
          <w:rFonts w:ascii="Times New Roman" w:hAnsi="Times New Roman" w:cs="Times New Roman"/>
          <w:sz w:val="20"/>
          <w:szCs w:val="20"/>
        </w:rPr>
        <w:t>.</w:t>
      </w:r>
    </w:p>
    <w:p w14:paraId="178EB2BF" w14:textId="37CBB310" w:rsidR="00513C24" w:rsidRPr="00196BE3" w:rsidRDefault="00513C24"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Pada era tersebut perintah kolonial sudah mendirikan sekolah ELS dan </w:t>
      </w:r>
      <w:r w:rsidR="00497F2F" w:rsidRPr="00497F2F">
        <w:rPr>
          <w:rFonts w:ascii="Times New Roman" w:hAnsi="Times New Roman" w:cs="Times New Roman"/>
          <w:i/>
          <w:iCs/>
          <w:sz w:val="20"/>
          <w:szCs w:val="20"/>
        </w:rPr>
        <w:t>Inlandsche School</w:t>
      </w:r>
      <w:r w:rsidRPr="00196BE3">
        <w:rPr>
          <w:rFonts w:ascii="Times New Roman" w:hAnsi="Times New Roman" w:cs="Times New Roman"/>
          <w:sz w:val="20"/>
          <w:szCs w:val="20"/>
        </w:rPr>
        <w:t xml:space="preserve">, namun sekolah tersebut hanya diisi oleh anak-anak dari kalangan tertentu yaitu ELS yang diperuntukkan bagi anak-anak belanda dan </w:t>
      </w:r>
      <w:r w:rsidR="00497F2F" w:rsidRPr="00497F2F">
        <w:rPr>
          <w:rFonts w:ascii="Times New Roman" w:hAnsi="Times New Roman" w:cs="Times New Roman"/>
          <w:i/>
          <w:iCs/>
          <w:sz w:val="20"/>
          <w:szCs w:val="20"/>
        </w:rPr>
        <w:t>Inlandsche School</w:t>
      </w:r>
      <w:r w:rsidR="00497F2F" w:rsidRPr="00497F2F">
        <w:rPr>
          <w:rFonts w:ascii="Times New Roman" w:hAnsi="Times New Roman" w:cs="Times New Roman"/>
          <w:sz w:val="20"/>
          <w:szCs w:val="20"/>
        </w:rPr>
        <w:t xml:space="preserve"> </w:t>
      </w:r>
      <w:r w:rsidRPr="00196BE3">
        <w:rPr>
          <w:rFonts w:ascii="Times New Roman" w:hAnsi="Times New Roman" w:cs="Times New Roman"/>
          <w:sz w:val="20"/>
          <w:szCs w:val="20"/>
        </w:rPr>
        <w:t>yang diperuntukkan bagi anak-anak pejabat pribumi. Sedangkan masyarakat Tionghoa yang ada umumnya menggunakan sistem pendidikan dalam bentuk kursus rumahan yang masih bersifat sangat informal. Pendidikan ini menggunakan bahasa Hokkien dengan dialek Tjiangtjoan, di mana hanya mempelajari ilmu surat-menyurat, ilmu sastra, serta syair tradisional tiongkok. Mata pelajaran modern seperti Pengetahuan Umum dan Pendidikan Kesehatan  tidak ada, hanya berfokus pada tujuan-tujuan moral seperti tata cara kebaktian, dan saling menghormati antar masyarakat. Kelemahan sistem pendidikan lama terletak pada kurikulumnya yang masih bersifat tradisional dan eksklusif, di mana orientasi pembelajaran hanya berfokus pada sastra Tiongkok klasik tanpa menyertakan disiplin ilmu pengetahuan umum. Menanggapi hal tersebut berbagai alat dan perlengkapan sekolah serta guru-guru kemudian disiapkan dan semua biaya yang dikeluarkan untuk menunjang operasional belajar mengajar berasal dari iuran para pengurus dan anggota perkumpulan THHK.</w:t>
      </w:r>
      <w:r w:rsidR="0015206D">
        <w:rPr>
          <w:rFonts w:ascii="Times New Roman" w:hAnsi="Times New Roman" w:cs="Times New Roman"/>
          <w:sz w:val="20"/>
          <w:szCs w:val="20"/>
        </w:rPr>
        <w:t xml:space="preserve"> </w:t>
      </w:r>
    </w:p>
    <w:p w14:paraId="3A435A2F" w14:textId="77777777" w:rsidR="00513C24" w:rsidRPr="00196BE3" w:rsidRDefault="00513C24" w:rsidP="007825A3">
      <w:pPr>
        <w:pStyle w:val="ListParagraph"/>
        <w:spacing w:after="0" w:line="240" w:lineRule="auto"/>
        <w:ind w:left="0" w:firstLine="720"/>
        <w:jc w:val="both"/>
        <w:rPr>
          <w:rFonts w:ascii="Times New Roman" w:hAnsi="Times New Roman" w:cs="Times New Roman"/>
          <w:sz w:val="20"/>
          <w:szCs w:val="20"/>
        </w:rPr>
      </w:pPr>
    </w:p>
    <w:p w14:paraId="6AE41797" w14:textId="576057B2" w:rsidR="00513C24" w:rsidRPr="00196BE3" w:rsidRDefault="00513C24">
      <w:pPr>
        <w:pStyle w:val="ListParagraph"/>
        <w:numPr>
          <w:ilvl w:val="0"/>
          <w:numId w:val="1"/>
        </w:numPr>
        <w:spacing w:after="0" w:line="240" w:lineRule="auto"/>
        <w:jc w:val="both"/>
        <w:rPr>
          <w:rFonts w:ascii="Times New Roman" w:hAnsi="Times New Roman" w:cs="Times New Roman"/>
          <w:b/>
          <w:bCs/>
          <w:sz w:val="20"/>
          <w:szCs w:val="20"/>
        </w:rPr>
      </w:pPr>
      <w:r w:rsidRPr="00196BE3">
        <w:rPr>
          <w:rFonts w:ascii="Times New Roman" w:hAnsi="Times New Roman" w:cs="Times New Roman"/>
          <w:b/>
          <w:bCs/>
          <w:sz w:val="20"/>
          <w:szCs w:val="20"/>
        </w:rPr>
        <w:t>Kurikulum Sekolah THHK</w:t>
      </w:r>
    </w:p>
    <w:p w14:paraId="6F01CE04" w14:textId="55F90C4D" w:rsidR="00513C24" w:rsidRPr="00196BE3" w:rsidRDefault="00513C24"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Awalnya di sekolah THHK Pasuruan merupakan sekolah dengan jenjang pendidikan tingkat dasar, kemudian para siswa umumnya harus pergi ke kota besar seperti Malang atau Surabaya jika ingin melanjutkan ke jenjang selanjutnya. Pembelajaran di Sekolah THHK Pasuruan mengedepankan 4 prinsip kesatriaan, yaitu Kehormatan, Kebanggaan, Solidaritas, dan Keberanian.</w:t>
      </w:r>
      <w:r w:rsidRPr="00196BE3">
        <w:rPr>
          <w:sz w:val="20"/>
          <w:szCs w:val="20"/>
          <w:vertAlign w:val="superscript"/>
        </w:rPr>
        <w:footnoteReference w:id="4"/>
      </w:r>
      <w:r w:rsidRPr="00196BE3">
        <w:rPr>
          <w:rFonts w:ascii="Times New Roman" w:hAnsi="Times New Roman" w:cs="Times New Roman"/>
          <w:sz w:val="20"/>
          <w:szCs w:val="20"/>
        </w:rPr>
        <w:t xml:space="preserve"> Pada materi </w:t>
      </w:r>
      <w:r w:rsidRPr="00196BE3">
        <w:rPr>
          <w:rFonts w:ascii="Times New Roman" w:hAnsi="Times New Roman" w:cs="Times New Roman"/>
          <w:sz w:val="20"/>
          <w:szCs w:val="20"/>
        </w:rPr>
        <w:t>pelajaran umumnya tidak jauh berbeda dan sesuai dengan standarisasi kurikulum yang diterapkan pada seluruh sekolah THHK di wilayah-wilayah lain di Indonesia. Materi pembelajarannya sendiri dibagi menjadi 17 bagian, yaitu:</w:t>
      </w:r>
      <w:r w:rsidR="000677DD" w:rsidRPr="00196BE3">
        <w:rPr>
          <w:rFonts w:ascii="Times New Roman" w:hAnsi="Times New Roman" w:cs="Times New Roman"/>
          <w:sz w:val="20"/>
          <w:szCs w:val="20"/>
        </w:rPr>
        <w:t xml:space="preserve"> </w:t>
      </w:r>
    </w:p>
    <w:p w14:paraId="33495761"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Kaij Sie. Metode untuk mengartikan makna dari kalimat yang telah dibaca. Tahapan ini merupakan fondasi utama bagi murid THHK karena menekankan pada pemahaman mendalam.</w:t>
      </w:r>
    </w:p>
    <w:p w14:paraId="1FA9FBAF"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Hwan Ik. Kegiatan menyalin naskah dari buku teks yang bertujuan agar murid mampu menulis dengan benar.</w:t>
      </w:r>
    </w:p>
    <w:p w14:paraId="57291B13"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Bik Sie. Latihan menulis di mana murid diajarkan untuk menuliskan kembali materi tanpa melihat buku teks guna melatih daya ingat dan penguasaan materi.</w:t>
      </w:r>
    </w:p>
    <w:p w14:paraId="5F009213"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Siok Djie. Latihan merangkai huruf menjadi kata. yang merupakan salah satu tujuan utama sekolah dalam membimbing anak-anak Tionghoa agar mampui menulis dengan benar.</w:t>
      </w:r>
    </w:p>
    <w:p w14:paraId="33F0CB81"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That Djie. Tahapan lebih lanjut untuk merangkai huruf menjadi kata, yang kemudian disusun menjadi sebuah kalimat yang utuh.</w:t>
      </w:r>
    </w:p>
    <w:p w14:paraId="37BBDD38"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Tjoat Djie. Latihan untuk mengoreksi atau membenarkan struktur kalimat yang salah.</w:t>
      </w:r>
    </w:p>
    <w:p w14:paraId="3D228084"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Tjok Boen. Pembelajaran mengarang secara bebas yang bertujuan agar murid mampu menuangkan ide dan pemikiran mereka secara tertulis.</w:t>
      </w:r>
    </w:p>
    <w:p w14:paraId="6FA91341"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Hwe Hwa, Tahapan di mana murid mulai mempraktikkan penggunaan bahasa Mandarin (</w:t>
      </w:r>
      <w:r w:rsidRPr="00196BE3">
        <w:rPr>
          <w:rFonts w:ascii="Times New Roman" w:hAnsi="Times New Roman" w:cs="Times New Roman"/>
          <w:i/>
          <w:iCs/>
          <w:sz w:val="20"/>
          <w:szCs w:val="20"/>
        </w:rPr>
        <w:t>Guo Yu</w:t>
      </w:r>
      <w:r w:rsidRPr="00196BE3">
        <w:rPr>
          <w:rFonts w:ascii="Times New Roman" w:hAnsi="Times New Roman" w:cs="Times New Roman"/>
          <w:sz w:val="20"/>
          <w:szCs w:val="20"/>
        </w:rPr>
        <w:t>) di lingkungan sekolah sebagai bahasa sehari hari.</w:t>
      </w:r>
    </w:p>
    <w:p w14:paraId="44549382"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Thok Soe. Program untuk membiasakan siswa agar tekun dalam membaca buku.</w:t>
      </w:r>
    </w:p>
    <w:p w14:paraId="7BABB578"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Sia Djie. Metode evaluasi untuk menilai kemampuan siswa dalam menulis aksara mandarin.</w:t>
      </w:r>
    </w:p>
    <w:p w14:paraId="055DB53B"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Soei Hak. Pembelajaran ilmu hitung atau matematika untuk mengasah logika numerik siswa.</w:t>
      </w:r>
    </w:p>
    <w:p w14:paraId="76FE5CFD"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Tee Lie. Pembelajaran mengenai Ilmu Bumi atau Geografi.</w:t>
      </w:r>
    </w:p>
    <w:p w14:paraId="17425DD5"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Lik Soe. Pembelajaran sejarah atau hikayat untuk memberikan pemahaman mengenai tradisi dan asal-usul masyarakat Tionghoa.</w:t>
      </w:r>
    </w:p>
    <w:p w14:paraId="68167B09" w14:textId="77777777"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To Wa. Pelajaran menggambar yang bertujuan untuk menggali dan mengembangkan kreativitas individu setiap murid.</w:t>
      </w:r>
    </w:p>
    <w:p w14:paraId="417AED20" w14:textId="6A5E9AFA"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Sioe Sien. Pembelajaran budi pekerti atau perbaikan diri yang didasarkan pada ajaran Konfusius, guna menjaga nilai-nilai agama Khonghucu di kalangan generasi muda.</w:t>
      </w:r>
    </w:p>
    <w:p w14:paraId="23E7AAD6" w14:textId="62F4947C"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Djiang Koo. Berarti menjanji yang menitikberatkan pada aspek lisan dan perilaku</w:t>
      </w:r>
    </w:p>
    <w:p w14:paraId="2E19AD14" w14:textId="149BBAEC" w:rsidR="00513C24" w:rsidRPr="00196BE3" w:rsidRDefault="00513C24">
      <w:pPr>
        <w:pStyle w:val="ListParagraph"/>
        <w:numPr>
          <w:ilvl w:val="0"/>
          <w:numId w:val="2"/>
        </w:numPr>
        <w:spacing w:after="0" w:line="240" w:lineRule="auto"/>
        <w:jc w:val="both"/>
        <w:rPr>
          <w:rFonts w:ascii="Times New Roman" w:hAnsi="Times New Roman" w:cs="Times New Roman"/>
          <w:sz w:val="20"/>
          <w:szCs w:val="20"/>
        </w:rPr>
      </w:pPr>
      <w:r w:rsidRPr="00196BE3">
        <w:rPr>
          <w:rFonts w:ascii="Times New Roman" w:hAnsi="Times New Roman" w:cs="Times New Roman"/>
          <w:sz w:val="20"/>
          <w:szCs w:val="20"/>
        </w:rPr>
        <w:t>Boen Hwat. Tahapan tingkat lanjut di mana murid mulai mempelajari aturan-aturan sastra yang lebih kompleks.</w:t>
      </w:r>
    </w:p>
    <w:p w14:paraId="1F511860" w14:textId="77777777" w:rsidR="0015206D" w:rsidRDefault="0015206D" w:rsidP="007825A3">
      <w:pPr>
        <w:spacing w:after="0" w:line="240" w:lineRule="auto"/>
        <w:ind w:firstLine="720"/>
        <w:contextualSpacing/>
        <w:jc w:val="both"/>
        <w:rPr>
          <w:rFonts w:ascii="Times New Roman" w:hAnsi="Times New Roman" w:cs="Times New Roman"/>
          <w:sz w:val="20"/>
          <w:szCs w:val="20"/>
        </w:rPr>
      </w:pPr>
    </w:p>
    <w:p w14:paraId="2E4CA30D" w14:textId="4D2F2FDE" w:rsidR="00513C24" w:rsidRDefault="0015206D" w:rsidP="007825A3">
      <w:pPr>
        <w:spacing w:after="0" w:line="240" w:lineRule="auto"/>
        <w:ind w:firstLine="720"/>
        <w:contextualSpacing/>
        <w:jc w:val="both"/>
        <w:rPr>
          <w:rFonts w:ascii="Times New Roman" w:hAnsi="Times New Roman" w:cs="Times New Roman"/>
          <w:sz w:val="20"/>
          <w:szCs w:val="20"/>
        </w:rPr>
      </w:pPr>
      <w:r w:rsidRPr="00300C99">
        <w:rPr>
          <w:rFonts w:ascii="Times New Roman" w:hAnsi="Times New Roman" w:cs="Times New Roman"/>
          <w:sz w:val="20"/>
          <w:szCs w:val="20"/>
        </w:rPr>
        <w:lastRenderedPageBreak/>
        <w:t>Pola pembelajaran dari materi diatas dibagi dalam tingkatan kelas, siswa dinyatakan lulus apabila berhasil menyelesaikan semua mata pelajaran, Namun tidak disebutkan secara jelas tentang pembagian pola pelajaran terhadap tiap kelas</w:t>
      </w:r>
      <w:r>
        <w:rPr>
          <w:rFonts w:ascii="Times New Roman" w:hAnsi="Times New Roman" w:cs="Times New Roman"/>
          <w:sz w:val="20"/>
          <w:szCs w:val="20"/>
        </w:rPr>
        <w:t xml:space="preserve"> Endriana (2015). </w:t>
      </w:r>
      <w:r w:rsidR="00513C24" w:rsidRPr="00196BE3">
        <w:rPr>
          <w:rFonts w:ascii="Times New Roman" w:hAnsi="Times New Roman" w:cs="Times New Roman"/>
          <w:sz w:val="20"/>
          <w:szCs w:val="20"/>
        </w:rPr>
        <w:t xml:space="preserve">Sebelum adanya Sekolah THHK, pendidikan masyarakat Tionghoa di Pasuruan awalnya menggunakan bahasa Hokkien sebagai bahasa pengantar utama. Pemilihan bahasa ini didasarkan pada dialek Hokkien yang merupakan bahasa paling umum digunakan oleh mayoritas komunitas Tionghoa lokal di wilayah tersebut. Namun, seiring dengan berdirinya sekolah THHK yang bertujuan untuk mempersatukan berbagai kelompok masyarakat Tionghoa perantauan. Maka dalam upaya mengatasi pembelajaran yang hanya berpusat pada kelompok masyarakat tertentu. Penggunaan bahasa Hokkien digantikan dengan bahasa </w:t>
      </w:r>
      <w:r w:rsidR="00513C24" w:rsidRPr="00196BE3">
        <w:rPr>
          <w:rFonts w:ascii="Times New Roman" w:hAnsi="Times New Roman" w:cs="Times New Roman"/>
          <w:i/>
          <w:iCs/>
          <w:sz w:val="20"/>
          <w:szCs w:val="20"/>
        </w:rPr>
        <w:t>Guo Yu</w:t>
      </w:r>
      <w:r w:rsidR="00513C24" w:rsidRPr="00196BE3">
        <w:rPr>
          <w:rFonts w:ascii="Times New Roman" w:hAnsi="Times New Roman" w:cs="Times New Roman"/>
          <w:sz w:val="20"/>
          <w:szCs w:val="20"/>
        </w:rPr>
        <w:t>.</w:t>
      </w:r>
      <w:r w:rsidR="00497F2F">
        <w:rPr>
          <w:rStyle w:val="FootnoteReference"/>
          <w:rFonts w:ascii="Times New Roman" w:hAnsi="Times New Roman" w:cs="Times New Roman"/>
          <w:sz w:val="20"/>
          <w:szCs w:val="20"/>
        </w:rPr>
        <w:footnoteReference w:id="5"/>
      </w:r>
      <w:r w:rsidR="00513C24" w:rsidRPr="00196BE3">
        <w:rPr>
          <w:rFonts w:ascii="Times New Roman" w:hAnsi="Times New Roman" w:cs="Times New Roman"/>
          <w:sz w:val="20"/>
          <w:szCs w:val="20"/>
        </w:rPr>
        <w:t xml:space="preserve"> Bahasa </w:t>
      </w:r>
      <w:r w:rsidR="00497F2F">
        <w:rPr>
          <w:rFonts w:ascii="Times New Roman" w:hAnsi="Times New Roman" w:cs="Times New Roman"/>
          <w:sz w:val="20"/>
          <w:szCs w:val="20"/>
        </w:rPr>
        <w:t>tersebut</w:t>
      </w:r>
      <w:r w:rsidR="00513C24" w:rsidRPr="00196BE3">
        <w:rPr>
          <w:rFonts w:ascii="Times New Roman" w:hAnsi="Times New Roman" w:cs="Times New Roman"/>
          <w:sz w:val="20"/>
          <w:szCs w:val="20"/>
        </w:rPr>
        <w:t xml:space="preserve"> dipilih karena merupakan bahasa nasional yang digunakan secara resmi di Tiongkok dan sebagai bahasa pemersatu bagi orang-orang Tionghoa perantauan dari berbagai kelompok serta dialek yang pada saat itu jumlahnya cukup banyak. Selain fakta bahwa bahasa Hokkien mengingatkan pada sistem pendidikan tradisional yang dianggap tidak lagi relevan, penggunaan bahasa yang masih kedaerahan di sekolah-sekolah Tionghoa dianggap sebagai penghambat bagi persatuan seluruh etnis Tionghoa, baik yang berada di tanah air maupun di perantauan.</w:t>
      </w:r>
    </w:p>
    <w:p w14:paraId="3DD16E14" w14:textId="77777777" w:rsidR="008677CE" w:rsidRPr="00196BE3" w:rsidRDefault="008677CE" w:rsidP="007825A3">
      <w:pPr>
        <w:spacing w:after="0" w:line="240" w:lineRule="auto"/>
        <w:ind w:firstLine="720"/>
        <w:contextualSpacing/>
        <w:jc w:val="both"/>
        <w:rPr>
          <w:rFonts w:ascii="Times New Roman" w:hAnsi="Times New Roman" w:cs="Times New Roman"/>
          <w:sz w:val="20"/>
          <w:szCs w:val="20"/>
        </w:rPr>
      </w:pPr>
    </w:p>
    <w:p w14:paraId="0CB3EC76" w14:textId="26DAE77F" w:rsidR="00E83AC6" w:rsidRPr="00196BE3" w:rsidRDefault="00513C24">
      <w:pPr>
        <w:pStyle w:val="ListParagraph"/>
        <w:numPr>
          <w:ilvl w:val="0"/>
          <w:numId w:val="1"/>
        </w:numPr>
        <w:spacing w:after="0" w:line="240" w:lineRule="auto"/>
        <w:jc w:val="both"/>
        <w:rPr>
          <w:rFonts w:ascii="Times New Roman" w:hAnsi="Times New Roman" w:cs="Times New Roman"/>
          <w:b/>
          <w:bCs/>
          <w:sz w:val="20"/>
          <w:szCs w:val="20"/>
        </w:rPr>
      </w:pPr>
      <w:r w:rsidRPr="00196BE3">
        <w:rPr>
          <w:rFonts w:ascii="Times New Roman" w:hAnsi="Times New Roman" w:cs="Times New Roman"/>
          <w:b/>
          <w:bCs/>
          <w:sz w:val="20"/>
          <w:szCs w:val="20"/>
        </w:rPr>
        <w:t>Pembukaan Bangunan Baru Sekolah THHK Pasuruan</w:t>
      </w:r>
    </w:p>
    <w:p w14:paraId="32C0D26B" w14:textId="72E4AE82" w:rsidR="00513C24" w:rsidRDefault="00513C24" w:rsidP="008677CE">
      <w:pPr>
        <w:pStyle w:val="ListParagraph"/>
        <w:spacing w:after="0" w:line="240" w:lineRule="auto"/>
        <w:ind w:left="0" w:firstLine="720"/>
        <w:jc w:val="both"/>
        <w:rPr>
          <w:rFonts w:ascii="Times New Roman" w:hAnsi="Times New Roman" w:cs="Times New Roman"/>
          <w:iCs/>
          <w:sz w:val="20"/>
          <w:szCs w:val="20"/>
        </w:rPr>
      </w:pPr>
      <w:r w:rsidRPr="00196BE3">
        <w:rPr>
          <w:rFonts w:ascii="Times New Roman" w:hAnsi="Times New Roman" w:cs="Times New Roman"/>
          <w:sz w:val="20"/>
          <w:szCs w:val="20"/>
        </w:rPr>
        <w:t>Sejak diresmikan sekolah THHK mendapatkan respon yang sangat positif dari masyarakat Tionghoa Pasuruan, terbukti dengan lonjakan jumlah pendaftar yang lebih dari 100 siswa pada masa awal operasionalnya.</w:t>
      </w:r>
      <w:r w:rsidR="000677DD">
        <w:rPr>
          <w:sz w:val="20"/>
          <w:szCs w:val="20"/>
          <w:vertAlign w:val="superscript"/>
        </w:rPr>
        <w:t xml:space="preserve"> </w:t>
      </w:r>
      <w:r w:rsidR="000677DD" w:rsidRPr="00196BE3">
        <w:rPr>
          <w:rFonts w:ascii="Times New Roman" w:hAnsi="Times New Roman" w:cs="Times New Roman"/>
          <w:sz w:val="20"/>
          <w:szCs w:val="20"/>
        </w:rPr>
        <w:t xml:space="preserve"> </w:t>
      </w:r>
      <w:r w:rsidRPr="00196BE3">
        <w:rPr>
          <w:rFonts w:ascii="Times New Roman" w:hAnsi="Times New Roman" w:cs="Times New Roman"/>
          <w:sz w:val="20"/>
          <w:szCs w:val="20"/>
        </w:rPr>
        <w:t xml:space="preserve">Tingginya antusiasme ini menyebabkan kapasitas ruang kelas tidak mencukupi sehingga proses belajar mengajar di sekolah THHK perlu dipindahkan ke bangunan baru yang lebih memadai. Berdasarkan </w:t>
      </w:r>
      <w:r w:rsidRPr="00196BE3">
        <w:rPr>
          <w:rFonts w:ascii="Times New Roman" w:hAnsi="Times New Roman" w:cs="Times New Roman"/>
          <w:iCs/>
          <w:sz w:val="20"/>
          <w:szCs w:val="20"/>
        </w:rPr>
        <w:t xml:space="preserve">Buku Peringatan 50 Tahun THHK Pasuruan 1904-1954, sekolah THHK berpindah pada lokasi ke 3 kali sejak awal diresmikan, dengan urutan lokasi sebagai berikut : </w:t>
      </w:r>
    </w:p>
    <w:p w14:paraId="2A5529B7" w14:textId="227BBAA7" w:rsidR="00513C24" w:rsidRPr="00196BE3" w:rsidRDefault="00513C24">
      <w:pPr>
        <w:pStyle w:val="ListParagraph"/>
        <w:numPr>
          <w:ilvl w:val="0"/>
          <w:numId w:val="3"/>
        </w:numPr>
        <w:spacing w:after="0" w:line="240" w:lineRule="auto"/>
        <w:jc w:val="both"/>
        <w:rPr>
          <w:rFonts w:ascii="Times New Roman" w:hAnsi="Times New Roman" w:cs="Times New Roman"/>
          <w:b/>
          <w:sz w:val="20"/>
          <w:szCs w:val="20"/>
        </w:rPr>
      </w:pPr>
      <w:bookmarkStart w:id="0" w:name="_Toc230343112"/>
      <w:r w:rsidRPr="00196BE3">
        <w:rPr>
          <w:rFonts w:ascii="Times New Roman" w:hAnsi="Times New Roman" w:cs="Times New Roman"/>
          <w:b/>
          <w:sz w:val="20"/>
          <w:szCs w:val="20"/>
        </w:rPr>
        <w:t>Klenteng Tjoe Tik Kiong</w:t>
      </w:r>
      <w:bookmarkEnd w:id="0"/>
    </w:p>
    <w:p w14:paraId="652965C3" w14:textId="429B8EC2" w:rsidR="00564ED5" w:rsidRDefault="00513C24" w:rsidP="008677CE">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iCs/>
          <w:sz w:val="20"/>
          <w:szCs w:val="20"/>
        </w:rPr>
        <w:t xml:space="preserve">Pada fase awal pendirian sekolah THHK Pasuruan menjadikan area Klenteng Tjoe Tik Kiong sebagai lokasi pembelajaran pertamanya. Langkah pemanfaatan ruang di kompleks tempat ibadah ini sebagai fasilitas pendidikan menunjukkan komitmen serta inisiatif dari masyarakat Tionghoa Pasuruan terhadap upaya modernisasi pendidikan di tengah keterbatasan sarana dan prasarana. Pada tahun pertama proses pembelajaran </w:t>
      </w:r>
      <w:r w:rsidRPr="00196BE3">
        <w:rPr>
          <w:rFonts w:ascii="Times New Roman" w:hAnsi="Times New Roman" w:cs="Times New Roman"/>
          <w:sz w:val="20"/>
          <w:szCs w:val="20"/>
        </w:rPr>
        <w:t>terlihat tingginya antusiasme para masyarakat Tionghoa yang mendaftarkan anak mereka, sampai 100 lebih pendaftar untuk bersekolah di Sekolah THHK Pasuruan,</w:t>
      </w:r>
      <w:r w:rsidR="000677DD" w:rsidRPr="00196BE3">
        <w:rPr>
          <w:rFonts w:ascii="Times New Roman" w:hAnsi="Times New Roman" w:cs="Times New Roman"/>
          <w:sz w:val="20"/>
          <w:szCs w:val="20"/>
        </w:rPr>
        <w:t xml:space="preserve"> </w:t>
      </w:r>
      <w:r w:rsidRPr="00196BE3">
        <w:rPr>
          <w:rFonts w:ascii="Times New Roman" w:hAnsi="Times New Roman" w:cs="Times New Roman"/>
          <w:sz w:val="20"/>
          <w:szCs w:val="20"/>
        </w:rPr>
        <w:t>Han Ho Tong selaku ketua THHK Pasuruan berinisiatif meminjamkan salah satu rumah miliknya di Jl. Raya No.19 Pasuruan untuk dialih fungsikan sebagai bangunan sekolah guna mengakomodasi peningkatan jumlah murid. Pemindahan tempat belajar mengajar dari Klenteng Tjoe Tik Kiong ke rumah Han Hoo Tong dilakukan di tahun yang sama yaitu 1904.</w:t>
      </w:r>
    </w:p>
    <w:p w14:paraId="6D95E495" w14:textId="37D4ACF6" w:rsidR="00564ED5" w:rsidRPr="00196BE3" w:rsidRDefault="00564ED5">
      <w:pPr>
        <w:pStyle w:val="ListParagraph"/>
        <w:numPr>
          <w:ilvl w:val="0"/>
          <w:numId w:val="3"/>
        </w:numPr>
        <w:spacing w:after="0" w:line="240" w:lineRule="auto"/>
        <w:jc w:val="both"/>
        <w:rPr>
          <w:rFonts w:ascii="Times New Roman" w:hAnsi="Times New Roman" w:cs="Times New Roman"/>
          <w:b/>
          <w:bCs/>
          <w:sz w:val="20"/>
          <w:szCs w:val="20"/>
        </w:rPr>
      </w:pPr>
      <w:r w:rsidRPr="00196BE3">
        <w:rPr>
          <w:rFonts w:ascii="Times New Roman" w:hAnsi="Times New Roman" w:cs="Times New Roman"/>
          <w:b/>
          <w:bCs/>
          <w:sz w:val="20"/>
          <w:szCs w:val="20"/>
        </w:rPr>
        <w:t>Jalan Raya No.19 Pasuruan</w:t>
      </w:r>
    </w:p>
    <w:p w14:paraId="02F73992" w14:textId="4B7B8554" w:rsidR="00564ED5" w:rsidRPr="00196BE3" w:rsidRDefault="00564ED5"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Keluarga Han Hoo Tong dikenal sebagai salah satu keluarga konglomerat di Pasuruan yang memiliki usaha di bidang perdagangan hasil bumi (seperti beras, dan tebu) dan ditunjuk oleh Pemerintah Hindia Belanda untuk mengatur tata niaga opium dan pertanahan sehingga mereka memiliki hak kepemilikan atas lahan yang sangat luas membentang dari jalan Soekarno Hatta hingga ke Jalan Belitung.</w:t>
      </w:r>
      <w:r w:rsidR="000677DD" w:rsidRPr="00196BE3">
        <w:rPr>
          <w:rFonts w:ascii="Times New Roman" w:hAnsi="Times New Roman" w:cs="Times New Roman"/>
          <w:sz w:val="20"/>
          <w:szCs w:val="20"/>
        </w:rPr>
        <w:t xml:space="preserve"> </w:t>
      </w:r>
      <w:r w:rsidRPr="00196BE3">
        <w:rPr>
          <w:rFonts w:ascii="Times New Roman" w:hAnsi="Times New Roman" w:cs="Times New Roman"/>
          <w:sz w:val="20"/>
          <w:szCs w:val="20"/>
        </w:rPr>
        <w:t>Rumah yang diwariskan Han Hoo Tong berada di Jl. Raya No. 19. Keluarga Han hidup dalam budaya Cina, Jawa, dan Eropa sehingga melahirkan gaya gaya Arsitektur yang terdiri dari perpaduan ketiga budaya tersebut.</w:t>
      </w:r>
    </w:p>
    <w:p w14:paraId="78638DB6" w14:textId="4D9B020D" w:rsidR="008677CE" w:rsidRDefault="00564ED5" w:rsidP="008677CE">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Bangunan disekolah ini memiliki 21 ruang kelas ini memiliki 3 bangunan yang masih mempertahankan gaya Indische Empire yaitu terdiri dari 1 bangunan utama dan 2 bangunan di samping yang masing-masing berada di timur dan barat bangunan utama. Bangunan utama sebagai bangunan dengan ukuran paling luas memiliki 2 lantai, Lantai dasar bagian depan difungsikan sebagai ruang guru dan ruang Tata Usaha (TU), sementara area tengah yang terbagi menjadi dua ruangan digunakan sebagai ruang kelas dan aula, sementara area belakang bangunan dimanfaatkan sebagai kantin. Selanjutnya disamping kantin terdapat tangga utama yang sangat menggambarkan bangunan dengan gaya Indische Empire terlihat dari anak tangga hingga </w:t>
      </w:r>
      <w:r w:rsidRPr="00196BE3">
        <w:rPr>
          <w:rFonts w:ascii="Times New Roman" w:hAnsi="Times New Roman" w:cs="Times New Roman"/>
          <w:i/>
          <w:iCs/>
          <w:sz w:val="20"/>
          <w:szCs w:val="20"/>
        </w:rPr>
        <w:t>railing</w:t>
      </w:r>
      <w:r w:rsidRPr="00196BE3">
        <w:rPr>
          <w:rFonts w:ascii="Times New Roman" w:hAnsi="Times New Roman" w:cs="Times New Roman"/>
          <w:sz w:val="20"/>
          <w:szCs w:val="20"/>
        </w:rPr>
        <w:t xml:space="preserve"> (pegangan tangga) yang dibuat menggunakan material kayu jati sehingga masih kokoh sampai sekarang, dirancang dengan ukuran yang lebar. Terdapat 3 jendela tinggi yang berderet secara simetris dalam ruangan dengan plafon yang sangat tinggi. Pada lantai 2 terdapat 5 ruangan yang semuanya berlantaikan kayu dan digunakan sebagai ruangan kelas. Jejak arsitektur dari bangunan lama peninggalan era THHK pada lokasi tersebut masih terjaga hingga dan masih aktif difunsgikan sebagai tempat belajar mengajar</w:t>
      </w:r>
      <w:r w:rsidR="00497F2F">
        <w:rPr>
          <w:rFonts w:ascii="Times New Roman" w:hAnsi="Times New Roman" w:cs="Times New Roman"/>
          <w:sz w:val="20"/>
          <w:szCs w:val="20"/>
        </w:rPr>
        <w:t>.</w:t>
      </w:r>
    </w:p>
    <w:p w14:paraId="43BE98F5" w14:textId="1389CA6D" w:rsidR="00564ED5" w:rsidRPr="008677CE" w:rsidRDefault="00564ED5">
      <w:pPr>
        <w:pStyle w:val="ListParagraph"/>
        <w:numPr>
          <w:ilvl w:val="0"/>
          <w:numId w:val="3"/>
        </w:numPr>
        <w:spacing w:after="0" w:line="240" w:lineRule="auto"/>
        <w:jc w:val="both"/>
        <w:rPr>
          <w:rFonts w:ascii="Times New Roman" w:hAnsi="Times New Roman" w:cs="Times New Roman"/>
          <w:sz w:val="20"/>
          <w:szCs w:val="20"/>
        </w:rPr>
      </w:pPr>
      <w:r w:rsidRPr="00196BE3">
        <w:rPr>
          <w:rFonts w:ascii="Times New Roman" w:hAnsi="Times New Roman" w:cs="Times New Roman"/>
          <w:b/>
          <w:bCs/>
          <w:sz w:val="20"/>
          <w:szCs w:val="20"/>
        </w:rPr>
        <w:t>Jalan Raya No. 26 Pasuruan</w:t>
      </w:r>
    </w:p>
    <w:p w14:paraId="37541EAE" w14:textId="4426C096" w:rsidR="00564ED5" w:rsidRPr="00196BE3" w:rsidRDefault="00564ED5"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Peningkatan jumlah pendaftar tiap tahunnya mengakibatkan ruang kelas yang ada tidak lagi memadai, sehubungan dengan hal tersebut para pengurus memiliki solusi dengan cara mencari bangunan baru yang lebih luas dan hak milik THHK sendiri. Demi memfasilitasi pendidikan anak-anak Tionghoa, kemudian pengurus THHK mengakuisisi bangunan yang ada di Jl. Raya No. 26 Pasuruan. Sehingga pada tahun 1906 Sekolah THHK secara resmi dipindahkan lagi ke lokasi tersebut.</w:t>
      </w:r>
    </w:p>
    <w:p w14:paraId="5B82C078" w14:textId="2833515A" w:rsidR="00497F2F" w:rsidRDefault="00564ED5" w:rsidP="007825A3">
      <w:pPr>
        <w:pStyle w:val="ListParagraph"/>
        <w:spacing w:after="0" w:line="240" w:lineRule="auto"/>
        <w:ind w:left="0"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Pada lokasi ini pembelajaran berjalan cukup lama yaitu selama 1906 hingga 1942 sebab fasilitas bangunan yang sangat memadai untuk menunjang proses pembelajaran secara maksimal, hal ini dapat terlihat dari banyaknya jumlah bangunan di area sekolah yang berjumlah 4 bangunan mencakup 27 ruangan didalamnya. Bangunan utama yang terletak di pusat area terbagi menjadi tiga bagian: area depan dengan 5 ruangan yang terdiri dari ruang penerima tamu, ruang guru, ruang kurikulum, ruang tata usaha, dan perpustakaan alumni, selanjutnya di area tengah berupa aula besar dan 3 ruang kelas, serta area belakang untuk kantin dan gudang. Bangunan kedua di sebelah timur difungsikan sebagai asrama guru dengan 5 </w:t>
      </w:r>
      <w:r w:rsidRPr="00196BE3">
        <w:rPr>
          <w:rFonts w:ascii="Times New Roman" w:hAnsi="Times New Roman" w:cs="Times New Roman"/>
          <w:sz w:val="20"/>
          <w:szCs w:val="20"/>
        </w:rPr>
        <w:lastRenderedPageBreak/>
        <w:t>ruangan yang berisikan kamar tidur penjaga sekolah, 2 kamar tidur guru, termasuk dapur dan 1 ruang kelas. Sementara itu, bangunan ketiga yang berbentuk huruf L di sisi timur dan selatan merupakan bangunan dengan ruangan paling banyak difungsikan sebagai pusat kegiatan belajar mengajar dengan 16 ruangan, yang terdiri dari 11 ruang kelas (7 di area timur, 4 di area selatan), dilanjutkan dengan perpustakaan siswa, kantor alumni, ruang penyimpanan, dapur, dan kamar mandi.</w:t>
      </w:r>
    </w:p>
    <w:p w14:paraId="7211710E" w14:textId="77777777" w:rsidR="0015206D" w:rsidRDefault="0015206D" w:rsidP="007825A3">
      <w:pPr>
        <w:pStyle w:val="ListParagraph"/>
        <w:spacing w:after="0" w:line="240" w:lineRule="auto"/>
        <w:ind w:left="0" w:firstLine="720"/>
        <w:jc w:val="both"/>
        <w:rPr>
          <w:rFonts w:ascii="Times New Roman" w:hAnsi="Times New Roman" w:cs="Times New Roman"/>
          <w:sz w:val="20"/>
          <w:szCs w:val="20"/>
        </w:rPr>
      </w:pPr>
    </w:p>
    <w:p w14:paraId="518351D6" w14:textId="5CE8D855" w:rsidR="00BF3508" w:rsidRPr="00BF3508" w:rsidRDefault="00BF3508">
      <w:pPr>
        <w:pStyle w:val="ListParagraph"/>
        <w:numPr>
          <w:ilvl w:val="0"/>
          <w:numId w:val="1"/>
        </w:numPr>
        <w:spacing w:after="0" w:line="240" w:lineRule="auto"/>
        <w:jc w:val="both"/>
        <w:rPr>
          <w:rFonts w:ascii="Times New Roman" w:hAnsi="Times New Roman" w:cs="Times New Roman"/>
          <w:b/>
          <w:bCs/>
          <w:sz w:val="20"/>
          <w:szCs w:val="20"/>
        </w:rPr>
      </w:pPr>
      <w:r w:rsidRPr="00BF3508">
        <w:rPr>
          <w:rFonts w:ascii="Times New Roman" w:eastAsiaTheme="majorEastAsia" w:hAnsi="Times New Roman" w:cs="Times New Roman"/>
          <w:b/>
          <w:bCs/>
          <w:sz w:val="20"/>
          <w:szCs w:val="20"/>
        </w:rPr>
        <w:t>Sekolah THHK Pasuruan Ditengah Krisis Ekonomi</w:t>
      </w:r>
    </w:p>
    <w:p w14:paraId="7D4F3139" w14:textId="50143AF1" w:rsidR="00BF3508" w:rsidRPr="00BF3508" w:rsidRDefault="00BF3508" w:rsidP="00BF3508">
      <w:pPr>
        <w:spacing w:after="0" w:line="240" w:lineRule="auto"/>
        <w:ind w:firstLine="720"/>
        <w:jc w:val="both"/>
        <w:rPr>
          <w:rFonts w:ascii="Times New Roman" w:hAnsi="Times New Roman" w:cs="Times New Roman"/>
          <w:sz w:val="20"/>
          <w:szCs w:val="20"/>
        </w:rPr>
      </w:pPr>
      <w:r w:rsidRPr="00BF3508">
        <w:rPr>
          <w:rFonts w:ascii="Times New Roman" w:hAnsi="Times New Roman" w:cs="Times New Roman"/>
          <w:sz w:val="20"/>
          <w:szCs w:val="20"/>
        </w:rPr>
        <w:t xml:space="preserve">Krisis ekonomi global yang dikenal sebagai krisis Malaise atau yang lebih dikenal sebagai </w:t>
      </w:r>
      <w:r w:rsidRPr="00BF3508">
        <w:rPr>
          <w:rFonts w:ascii="Times New Roman" w:hAnsi="Times New Roman" w:cs="Times New Roman"/>
          <w:i/>
          <w:iCs/>
          <w:sz w:val="20"/>
          <w:szCs w:val="20"/>
        </w:rPr>
        <w:t>The Great Depression</w:t>
      </w:r>
      <w:r w:rsidRPr="00BF3508">
        <w:rPr>
          <w:rFonts w:ascii="Times New Roman" w:hAnsi="Times New Roman" w:cs="Times New Roman"/>
          <w:sz w:val="20"/>
          <w:szCs w:val="20"/>
        </w:rPr>
        <w:t xml:space="preserve"> pada tahun 1929</w:t>
      </w:r>
      <w:r w:rsidR="00B07549">
        <w:rPr>
          <w:rFonts w:ascii="Times New Roman" w:hAnsi="Times New Roman" w:cs="Times New Roman"/>
          <w:sz w:val="20"/>
          <w:szCs w:val="20"/>
        </w:rPr>
        <w:t xml:space="preserve"> </w:t>
      </w:r>
      <w:r w:rsidR="004E0CBB">
        <w:rPr>
          <w:rFonts w:ascii="Times New Roman" w:hAnsi="Times New Roman" w:cs="Times New Roman"/>
          <w:sz w:val="20"/>
          <w:szCs w:val="20"/>
          <w:vertAlign w:val="superscript"/>
        </w:rPr>
        <w:fldChar w:fldCharType="begin" w:fldLock="1"/>
      </w:r>
      <w:r w:rsidR="00B40166">
        <w:rPr>
          <w:rFonts w:ascii="Times New Roman" w:hAnsi="Times New Roman" w:cs="Times New Roman"/>
          <w:sz w:val="20"/>
          <w:szCs w:val="20"/>
        </w:rPr>
        <w:instrText>ADDIN CSL_CITATION {"citationItems":[{"id":"ITEM-1","itemData":{"author":[{"dropping-particle":"","family":"Larasati","given":"Sri","non-dropping-particle":"","parse-names":false,"suffix":""}],"id":"ITEM-1","issued":{"date-parts":[["2016"]]},"publisher":"Universitas Negeri Yogyakarta","title":"Pengaruh Krisis Malaise Terhadap Pabrik Gula Gondang Winangun Tahun 1929 - 1940","type":"thesis"},"uris":["http://www.mendeley.com/documents/?uuid=da97fca2-1731-4873-8d3f-adb987ac6d2c"]}],"mendeley":{"formattedCitation":"(Larasati, 2016)","plainTextFormattedCitation":"(Larasati, 2016)","previouslyFormattedCitation":"(Larasati, 2016)"},"properties":{"noteIndex":0},"schema":"https://github.com/citation-style-language/schema/raw/master/csl-citation.json"}</w:instrText>
      </w:r>
      <w:r w:rsidR="004E0CBB">
        <w:rPr>
          <w:rFonts w:ascii="Times New Roman" w:hAnsi="Times New Roman" w:cs="Times New Roman"/>
          <w:sz w:val="20"/>
          <w:szCs w:val="20"/>
          <w:vertAlign w:val="superscript"/>
        </w:rPr>
        <w:fldChar w:fldCharType="separate"/>
      </w:r>
      <w:r w:rsidR="004E0CBB" w:rsidRPr="004E0CBB">
        <w:rPr>
          <w:rFonts w:ascii="Times New Roman" w:hAnsi="Times New Roman" w:cs="Times New Roman"/>
          <w:noProof/>
          <w:sz w:val="20"/>
          <w:szCs w:val="20"/>
        </w:rPr>
        <w:t>(Larasati, 2016)</w:t>
      </w:r>
      <w:r w:rsidR="004E0CBB">
        <w:rPr>
          <w:rFonts w:ascii="Times New Roman" w:hAnsi="Times New Roman" w:cs="Times New Roman"/>
          <w:sz w:val="20"/>
          <w:szCs w:val="20"/>
          <w:vertAlign w:val="superscript"/>
        </w:rPr>
        <w:fldChar w:fldCharType="end"/>
      </w:r>
      <w:r w:rsidRPr="00BF3508">
        <w:rPr>
          <w:rFonts w:ascii="Times New Roman" w:hAnsi="Times New Roman" w:cs="Times New Roman"/>
          <w:sz w:val="20"/>
          <w:szCs w:val="20"/>
        </w:rPr>
        <w:t xml:space="preserve"> memberikan hantaman keras bagi seluruh lapisan masyarakat termasuk pada institusi pendidikan di Indonesia, tidak terkecuali pada Sekolah THHK Pasuruan yang sangat bergantung pada donasi para pengusaha gula dan pedagang Tionghoa, stabilitas finansial THHK Pasuruan mengalami guncangan hebat seiring dengan jatuhnya harga komoditas utama di pasar internasional. </w:t>
      </w:r>
      <w:r>
        <w:rPr>
          <w:rFonts w:ascii="Times New Roman" w:hAnsi="Times New Roman" w:cs="Times New Roman"/>
          <w:sz w:val="20"/>
          <w:szCs w:val="20"/>
        </w:rPr>
        <w:t>Meskipun s</w:t>
      </w:r>
      <w:r w:rsidRPr="00BF3508">
        <w:rPr>
          <w:rFonts w:ascii="Times New Roman" w:hAnsi="Times New Roman" w:cs="Times New Roman"/>
          <w:sz w:val="20"/>
          <w:szCs w:val="20"/>
        </w:rPr>
        <w:t>ejak</w:t>
      </w:r>
      <w:r>
        <w:rPr>
          <w:rFonts w:ascii="Times New Roman" w:hAnsi="Times New Roman" w:cs="Times New Roman"/>
          <w:sz w:val="20"/>
          <w:szCs w:val="20"/>
        </w:rPr>
        <w:t xml:space="preserve"> </w:t>
      </w:r>
      <w:r w:rsidRPr="00BF3508">
        <w:rPr>
          <w:rFonts w:ascii="Times New Roman" w:hAnsi="Times New Roman" w:cs="Times New Roman"/>
          <w:sz w:val="20"/>
          <w:szCs w:val="20"/>
        </w:rPr>
        <w:t xml:space="preserve">awal didirikannya </w:t>
      </w:r>
      <w:r>
        <w:rPr>
          <w:rFonts w:ascii="Times New Roman" w:hAnsi="Times New Roman" w:cs="Times New Roman"/>
          <w:sz w:val="20"/>
          <w:szCs w:val="20"/>
        </w:rPr>
        <w:t>yaitu pada 1904</w:t>
      </w:r>
      <w:r w:rsidRPr="00BF3508">
        <w:rPr>
          <w:rFonts w:ascii="Times New Roman" w:hAnsi="Times New Roman" w:cs="Times New Roman"/>
          <w:sz w:val="20"/>
          <w:szCs w:val="20"/>
        </w:rPr>
        <w:t xml:space="preserve"> </w:t>
      </w:r>
      <w:r>
        <w:rPr>
          <w:rFonts w:ascii="Times New Roman" w:hAnsi="Times New Roman" w:cs="Times New Roman"/>
          <w:sz w:val="20"/>
          <w:szCs w:val="20"/>
        </w:rPr>
        <w:t xml:space="preserve">kondisi keuangan di sekolah </w:t>
      </w:r>
      <w:r w:rsidRPr="00BF3508">
        <w:rPr>
          <w:rFonts w:ascii="Times New Roman" w:hAnsi="Times New Roman" w:cs="Times New Roman"/>
          <w:sz w:val="20"/>
          <w:szCs w:val="20"/>
        </w:rPr>
        <w:t>THHK Pasuruan</w:t>
      </w:r>
      <w:r>
        <w:rPr>
          <w:rFonts w:ascii="Times New Roman" w:hAnsi="Times New Roman" w:cs="Times New Roman"/>
          <w:sz w:val="20"/>
          <w:szCs w:val="20"/>
        </w:rPr>
        <w:t xml:space="preserve"> </w:t>
      </w:r>
      <w:r w:rsidRPr="00BF3508">
        <w:rPr>
          <w:rFonts w:ascii="Times New Roman" w:hAnsi="Times New Roman" w:cs="Times New Roman"/>
          <w:sz w:val="20"/>
          <w:szCs w:val="20"/>
        </w:rPr>
        <w:t xml:space="preserve">bisa dikatakan sangat stabil </w:t>
      </w:r>
      <w:r>
        <w:rPr>
          <w:rFonts w:ascii="Times New Roman" w:hAnsi="Times New Roman" w:cs="Times New Roman"/>
          <w:sz w:val="20"/>
          <w:szCs w:val="20"/>
        </w:rPr>
        <w:t xml:space="preserve">dampak </w:t>
      </w:r>
      <w:r w:rsidRPr="00BF3508">
        <w:rPr>
          <w:rFonts w:ascii="Times New Roman" w:hAnsi="Times New Roman" w:cs="Times New Roman"/>
          <w:sz w:val="20"/>
          <w:szCs w:val="20"/>
        </w:rPr>
        <w:t>dari antusiasme masyarakat Tionghoa dengan adanya lembaga pendidikan yang dikhususkan bagi kaum mereka.</w:t>
      </w:r>
      <w:r>
        <w:rPr>
          <w:rFonts w:ascii="Times New Roman" w:hAnsi="Times New Roman" w:cs="Times New Roman"/>
          <w:sz w:val="20"/>
          <w:szCs w:val="20"/>
        </w:rPr>
        <w:t xml:space="preserve"> </w:t>
      </w:r>
      <w:r w:rsidRPr="00BF3508">
        <w:rPr>
          <w:rFonts w:ascii="Times New Roman" w:hAnsi="Times New Roman" w:cs="Times New Roman"/>
          <w:sz w:val="20"/>
          <w:szCs w:val="20"/>
        </w:rPr>
        <w:t xml:space="preserve">Struktur pendanaan </w:t>
      </w:r>
      <w:r>
        <w:rPr>
          <w:rFonts w:ascii="Times New Roman" w:hAnsi="Times New Roman" w:cs="Times New Roman"/>
          <w:sz w:val="20"/>
          <w:szCs w:val="20"/>
        </w:rPr>
        <w:t>sekolah</w:t>
      </w:r>
      <w:r w:rsidRPr="00BF3508">
        <w:rPr>
          <w:rFonts w:ascii="Times New Roman" w:hAnsi="Times New Roman" w:cs="Times New Roman"/>
          <w:sz w:val="20"/>
          <w:szCs w:val="20"/>
        </w:rPr>
        <w:t xml:space="preserve"> yang bertumpu pada iuran wajib para murid dan sumbangan sukarela para donatur yang utamanya berasal dari lingkaran keluarga Han dan keluarga Kwee mulai berkurang. Banyak pengusaha Tionghoa di Pasuruan yang mengalami kebangkrutan atau penurunan aset secara drastis. Menghadapi situasi krisis, Liem Tjie Hian yang baru dilantik sebagai kepala sekolah mengambil upaya mitigasi bersama jajaran guru lainnya. Mereka melakukan efisiensi anggaran secara ketat, mulai dari pengurangan biaya perawatan gedung hingga penyesuaian gaji tenaga pengajar. Langkah tersebut cukup berhasil dalam menjaga stabilitas keuangan sekolah selama masa krisis.</w:t>
      </w:r>
    </w:p>
    <w:p w14:paraId="7E773AB3" w14:textId="4F6F5C9A" w:rsidR="00BF3508" w:rsidRPr="00BF3508" w:rsidRDefault="00BF3508" w:rsidP="00BF3508">
      <w:pPr>
        <w:spacing w:after="0" w:line="240" w:lineRule="auto"/>
        <w:ind w:firstLine="720"/>
        <w:jc w:val="both"/>
        <w:rPr>
          <w:rFonts w:ascii="Times New Roman" w:hAnsi="Times New Roman" w:cs="Times New Roman"/>
          <w:sz w:val="20"/>
          <w:szCs w:val="20"/>
        </w:rPr>
      </w:pPr>
      <w:r w:rsidRPr="00BF3508">
        <w:rPr>
          <w:rFonts w:ascii="Times New Roman" w:hAnsi="Times New Roman" w:cs="Times New Roman"/>
          <w:sz w:val="20"/>
          <w:szCs w:val="20"/>
        </w:rPr>
        <w:t xml:space="preserve">Memasuki tahun 1932, Sekolah THHK Pasuruan mulai menghadapi </w:t>
      </w:r>
      <w:r w:rsidRPr="000677DD">
        <w:rPr>
          <w:rFonts w:ascii="Times New Roman" w:hAnsi="Times New Roman" w:cs="Times New Roman"/>
          <w:sz w:val="20"/>
          <w:szCs w:val="20"/>
        </w:rPr>
        <w:t xml:space="preserve">tantangan yang lebih besar ketika pemerintah kolonial Belanda mendirikan </w:t>
      </w:r>
      <w:r w:rsidRPr="000677DD">
        <w:rPr>
          <w:rFonts w:ascii="Times New Roman" w:hAnsi="Times New Roman" w:cs="Times New Roman"/>
          <w:i/>
          <w:iCs/>
          <w:sz w:val="20"/>
          <w:szCs w:val="20"/>
        </w:rPr>
        <w:t>Hollandsch-Chineesche School</w:t>
      </w:r>
      <w:r w:rsidRPr="000677DD">
        <w:rPr>
          <w:rFonts w:ascii="Times New Roman" w:hAnsi="Times New Roman" w:cs="Times New Roman"/>
          <w:sz w:val="20"/>
          <w:szCs w:val="20"/>
        </w:rPr>
        <w:t xml:space="preserve"> di Pasuruan.</w:t>
      </w:r>
      <w:r w:rsidR="000677DD">
        <w:rPr>
          <w:rFonts w:ascii="Times New Roman" w:hAnsi="Times New Roman" w:cs="Times New Roman"/>
          <w:sz w:val="20"/>
          <w:szCs w:val="20"/>
        </w:rPr>
        <w:t xml:space="preserve"> </w:t>
      </w:r>
      <w:r w:rsidRPr="000677DD">
        <w:rPr>
          <w:rFonts w:ascii="Times New Roman" w:hAnsi="Times New Roman" w:cs="Times New Roman"/>
          <w:sz w:val="20"/>
          <w:szCs w:val="20"/>
        </w:rPr>
        <w:t>Situasi ini disebabkan oleh pemerintah kolonial Belanda merasa khawatir terhadap pesatnya perkembangan nasionalisme</w:t>
      </w:r>
      <w:r w:rsidRPr="00BF3508">
        <w:rPr>
          <w:rFonts w:ascii="Times New Roman" w:hAnsi="Times New Roman" w:cs="Times New Roman"/>
          <w:sz w:val="20"/>
          <w:szCs w:val="20"/>
        </w:rPr>
        <w:t xml:space="preserve"> dikalngan masyarakat Tionghoa, terutama yang terbangun melalui pendidikan berbasis bahasa Mandarin. Kehadiran sekolah HCS menciptakan pergeseran signifikan dalam peta pendidikan bagi masyarakat Tionghoa di Pasuruan, sehingga menyebabkan jumlah murid di THHK mengalami penurunan setelah pemerintah menetapkan kebijakan untuk mendirikan sekolah bagi anak-anak Tionghoa. </w:t>
      </w:r>
    </w:p>
    <w:p w14:paraId="7B6F16CF" w14:textId="2FD1B3A1" w:rsidR="00BF3508" w:rsidRPr="00BF3508" w:rsidRDefault="00BF3508" w:rsidP="00BF3508">
      <w:pPr>
        <w:spacing w:after="0" w:line="240" w:lineRule="auto"/>
        <w:ind w:firstLine="720"/>
        <w:jc w:val="both"/>
        <w:rPr>
          <w:rFonts w:ascii="Times New Roman" w:hAnsi="Times New Roman" w:cs="Times New Roman"/>
          <w:sz w:val="20"/>
          <w:szCs w:val="20"/>
        </w:rPr>
      </w:pPr>
      <w:r w:rsidRPr="00BF3508">
        <w:rPr>
          <w:rFonts w:ascii="Times New Roman" w:hAnsi="Times New Roman" w:cs="Times New Roman"/>
          <w:sz w:val="20"/>
          <w:szCs w:val="20"/>
        </w:rPr>
        <w:t>Fenomena penurunan jumlah murid di sekolah THHK Pasuruan secara mendasar dipicu oleh pergeseran pilihan pendidikan di kalangan mayoritas keluarga Tionghoa Peranakan. Mereka mulai beralih ke HCS</w:t>
      </w:r>
      <w:r w:rsidR="00497F2F">
        <w:rPr>
          <w:rFonts w:ascii="Times New Roman" w:hAnsi="Times New Roman" w:cs="Times New Roman"/>
          <w:sz w:val="20"/>
          <w:szCs w:val="20"/>
        </w:rPr>
        <w:t xml:space="preserve">, </w:t>
      </w:r>
      <w:r w:rsidRPr="00BF3508">
        <w:rPr>
          <w:rFonts w:ascii="Times New Roman" w:hAnsi="Times New Roman" w:cs="Times New Roman"/>
          <w:sz w:val="20"/>
          <w:szCs w:val="20"/>
        </w:rPr>
        <w:t xml:space="preserve">karena penggunaan bahasa Belanda sebagai bahasa pengantar dinilai memiliki nilai guna yang lebih luas secara global dan menawarkan mobilitas vertikal yang lebih menjanjikan di dalam struktur kolonial, </w:t>
      </w:r>
      <w:r>
        <w:rPr>
          <w:rFonts w:ascii="Times New Roman" w:hAnsi="Times New Roman" w:cs="Times New Roman"/>
          <w:sz w:val="20"/>
          <w:szCs w:val="20"/>
        </w:rPr>
        <w:t>dibandingkan</w:t>
      </w:r>
      <w:r w:rsidRPr="00BF3508">
        <w:rPr>
          <w:rFonts w:ascii="Times New Roman" w:hAnsi="Times New Roman" w:cs="Times New Roman"/>
          <w:sz w:val="20"/>
          <w:szCs w:val="20"/>
        </w:rPr>
        <w:t xml:space="preserve"> pengajaran </w:t>
      </w:r>
      <w:r w:rsidRPr="00BF3508">
        <w:rPr>
          <w:rFonts w:ascii="Times New Roman" w:hAnsi="Times New Roman" w:cs="Times New Roman"/>
          <w:sz w:val="20"/>
          <w:szCs w:val="20"/>
        </w:rPr>
        <w:t>bahasa Mandarin di sekolah THHK. Kondisi ini menciptakan polarisasi yang menyebabkan terbentuknya 2 kubu dalam peta pendidikan Tionghoa lokal di Pasuruan. Keluarga Tionghoa Peranakan yang cenderung berorientasi pada asimilasi dan birokrasi kolonial lebih memilih menyekolahkan anak mereka di HCS, sementara keluarga Tionghoa Totok yang masih menjaga budaya leluhur tetap memercayakan pendidikan anak-anak mereka pada sekolah THHK.</w:t>
      </w:r>
    </w:p>
    <w:p w14:paraId="5E95222D" w14:textId="77777777" w:rsidR="0015206D" w:rsidRDefault="00BF3508" w:rsidP="005E22BF">
      <w:pPr>
        <w:spacing w:after="0" w:line="240" w:lineRule="auto"/>
        <w:ind w:firstLine="720"/>
        <w:jc w:val="both"/>
        <w:rPr>
          <w:rFonts w:ascii="Times New Roman" w:hAnsi="Times New Roman" w:cs="Times New Roman"/>
          <w:sz w:val="20"/>
          <w:szCs w:val="20"/>
        </w:rPr>
      </w:pPr>
      <w:r w:rsidRPr="00BF3508">
        <w:rPr>
          <w:rFonts w:ascii="Times New Roman" w:hAnsi="Times New Roman" w:cs="Times New Roman"/>
          <w:sz w:val="20"/>
          <w:szCs w:val="20"/>
        </w:rPr>
        <w:t>Akibat dari didirikannya sekolah saingan ditengah masa krisis keuangan THHK memicu kekhawatiran di kalangan pengurus. Namun, optimisme kembali bangkit berkat dorongan dari Kwee Sik Poo yang pada saat itu cukup dipandang sebagai tokoh penasehat THHK dengan menekankan pentingnya menempuh pendidikan di sekolah Tionghoa demi menjaga identitas dan adat istiadat. Usaha yang dilakukan yaitu sebagai upaya memulihkan perekonomian salah satunya yaitu mengadakan kegiatan pameran lelang barang-barang kerajinan tangan hasil karya siswa, dan acara menggalang donasi yang dihadiri para saudagar Tionghoa Pasuruan yang dilakukan setiap tahun pada saat peringatan ulang tahun THHK. Seluruh pendapatan dari kegiatan tersebut dialokasikan langsung ke dana pembangunan, yang pada akhirnya berhasil menyelamatkan stabilitas sekolah di tengah tekanan ekonomi yang terjadi pada era tersebut</w:t>
      </w:r>
      <w:r>
        <w:rPr>
          <w:rFonts w:ascii="Times New Roman" w:hAnsi="Times New Roman" w:cs="Times New Roman"/>
          <w:sz w:val="20"/>
          <w:szCs w:val="20"/>
        </w:rPr>
        <w:t>.</w:t>
      </w:r>
      <w:r w:rsidR="005E22BF">
        <w:rPr>
          <w:rFonts w:ascii="Times New Roman" w:hAnsi="Times New Roman" w:cs="Times New Roman"/>
          <w:sz w:val="20"/>
          <w:szCs w:val="20"/>
        </w:rPr>
        <w:t xml:space="preserve"> </w:t>
      </w:r>
    </w:p>
    <w:p w14:paraId="2AE2E2B8" w14:textId="7DFFEF88" w:rsidR="005E22BF" w:rsidRDefault="005E22BF" w:rsidP="005E22BF">
      <w:pPr>
        <w:spacing w:after="0" w:line="240" w:lineRule="auto"/>
        <w:ind w:firstLine="720"/>
        <w:jc w:val="both"/>
        <w:rPr>
          <w:rFonts w:ascii="Times New Roman" w:hAnsi="Times New Roman" w:cs="Times New Roman"/>
          <w:sz w:val="20"/>
          <w:szCs w:val="20"/>
        </w:rPr>
      </w:pPr>
      <w:r w:rsidRPr="00196BE3">
        <w:rPr>
          <w:rFonts w:ascii="Times New Roman" w:hAnsi="Times New Roman" w:cs="Times New Roman"/>
          <w:sz w:val="20"/>
          <w:szCs w:val="20"/>
        </w:rPr>
        <w:t xml:space="preserve">Namun kondisi tersebut tidak berlangsung lama sebab memasuki tahun 1942 </w:t>
      </w:r>
      <w:r w:rsidR="00497F2F" w:rsidRPr="00196BE3">
        <w:rPr>
          <w:rFonts w:ascii="Times New Roman" w:hAnsi="Times New Roman" w:cs="Times New Roman"/>
          <w:sz w:val="20"/>
          <w:szCs w:val="20"/>
        </w:rPr>
        <w:t xml:space="preserve">ketika Jepang memasuki kota Pasuruan seluruh alat dan bahan ajar, serta arsip dokumen sekolah dirusak atau dibakar. Akibatnya dokumen pendukung, arsip tertulis, maupun catatan administratif dari masa itu </w:t>
      </w:r>
      <w:r w:rsidR="00497F2F">
        <w:rPr>
          <w:rFonts w:ascii="Times New Roman" w:hAnsi="Times New Roman" w:cs="Times New Roman"/>
          <w:sz w:val="20"/>
          <w:szCs w:val="20"/>
        </w:rPr>
        <w:t>banyak yang tidak</w:t>
      </w:r>
      <w:r w:rsidR="00497F2F" w:rsidRPr="00196BE3">
        <w:rPr>
          <w:rFonts w:ascii="Times New Roman" w:hAnsi="Times New Roman" w:cs="Times New Roman"/>
          <w:sz w:val="20"/>
          <w:szCs w:val="20"/>
        </w:rPr>
        <w:t xml:space="preserve"> dapat ditemukan</w:t>
      </w:r>
      <w:r w:rsidR="00497F2F">
        <w:rPr>
          <w:rFonts w:ascii="Times New Roman" w:hAnsi="Times New Roman" w:cs="Times New Roman"/>
          <w:sz w:val="20"/>
          <w:szCs w:val="20"/>
        </w:rPr>
        <w:t xml:space="preserve">. </w:t>
      </w:r>
      <w:r w:rsidRPr="00196BE3">
        <w:rPr>
          <w:rFonts w:ascii="Times New Roman" w:hAnsi="Times New Roman" w:cs="Times New Roman"/>
          <w:sz w:val="20"/>
          <w:szCs w:val="20"/>
        </w:rPr>
        <w:t xml:space="preserve">Pemerintah Jepang kemudian membubarkan Yayasan THHK secara paksa dan menggabungkan sekolah HCS dan sekolah THHK menjadi Hua Thung Min Chung Hsueh Hsiao di bawah kendali organisasi bentukan Jepang. Selama tiga tahun, sekolah baru ini mewajibkan diterapkannya kurikulum militer bentukan Jepang. Masa ini akhirnya berakhir saat Jepang menyerah pada Agustus 1945, </w:t>
      </w:r>
      <w:r w:rsidR="00B07549">
        <w:rPr>
          <w:rFonts w:ascii="Times New Roman" w:hAnsi="Times New Roman" w:cs="Times New Roman"/>
          <w:sz w:val="20"/>
          <w:szCs w:val="20"/>
        </w:rPr>
        <w:t xml:space="preserve">sehingga kegiatan pembelajaran terpaksa </w:t>
      </w:r>
      <w:r>
        <w:rPr>
          <w:rFonts w:ascii="Times New Roman" w:hAnsi="Times New Roman" w:cs="Times New Roman"/>
          <w:sz w:val="20"/>
          <w:szCs w:val="20"/>
        </w:rPr>
        <w:t>vakum</w:t>
      </w:r>
      <w:r w:rsidRPr="00196BE3">
        <w:rPr>
          <w:rFonts w:ascii="Times New Roman" w:hAnsi="Times New Roman" w:cs="Times New Roman"/>
          <w:sz w:val="20"/>
          <w:szCs w:val="20"/>
        </w:rPr>
        <w:t>.</w:t>
      </w:r>
    </w:p>
    <w:p w14:paraId="18FEBE8E" w14:textId="77777777" w:rsidR="0015206D" w:rsidRDefault="0015206D" w:rsidP="007825A3">
      <w:pPr>
        <w:spacing w:after="0" w:line="240" w:lineRule="auto"/>
        <w:contextualSpacing/>
        <w:jc w:val="both"/>
        <w:rPr>
          <w:rFonts w:ascii="Times New Roman" w:hAnsi="Times New Roman" w:cs="Times New Roman"/>
          <w:b/>
          <w:bCs/>
          <w:sz w:val="20"/>
          <w:szCs w:val="20"/>
        </w:rPr>
      </w:pPr>
    </w:p>
    <w:p w14:paraId="3A3F1A4E" w14:textId="1A4D0D2A" w:rsidR="00564ED5" w:rsidRPr="00196BE3" w:rsidRDefault="00564ED5" w:rsidP="007825A3">
      <w:pPr>
        <w:spacing w:after="0" w:line="240" w:lineRule="auto"/>
        <w:contextualSpacing/>
        <w:jc w:val="both"/>
        <w:rPr>
          <w:rFonts w:ascii="Times New Roman" w:hAnsi="Times New Roman" w:cs="Times New Roman"/>
          <w:b/>
          <w:bCs/>
          <w:sz w:val="20"/>
          <w:szCs w:val="20"/>
        </w:rPr>
      </w:pPr>
      <w:r w:rsidRPr="00196BE3">
        <w:rPr>
          <w:rFonts w:ascii="Times New Roman" w:hAnsi="Times New Roman" w:cs="Times New Roman"/>
          <w:b/>
          <w:bCs/>
          <w:sz w:val="20"/>
          <w:szCs w:val="20"/>
        </w:rPr>
        <w:t>PENUTUP</w:t>
      </w:r>
    </w:p>
    <w:p w14:paraId="750D8ED0" w14:textId="2ADD8FCD" w:rsidR="00564ED5" w:rsidRPr="00196BE3" w:rsidRDefault="00564ED5" w:rsidP="007825A3">
      <w:pPr>
        <w:spacing w:after="0" w:line="240" w:lineRule="auto"/>
        <w:contextualSpacing/>
        <w:jc w:val="both"/>
        <w:rPr>
          <w:rFonts w:ascii="Times New Roman" w:hAnsi="Times New Roman" w:cs="Times New Roman"/>
          <w:b/>
          <w:bCs/>
          <w:sz w:val="20"/>
          <w:szCs w:val="20"/>
        </w:rPr>
      </w:pPr>
      <w:r w:rsidRPr="00196BE3">
        <w:rPr>
          <w:rFonts w:ascii="Times New Roman" w:hAnsi="Times New Roman" w:cs="Times New Roman"/>
          <w:b/>
          <w:bCs/>
          <w:sz w:val="20"/>
          <w:szCs w:val="20"/>
        </w:rPr>
        <w:t>Kesimpulan</w:t>
      </w:r>
    </w:p>
    <w:p w14:paraId="7D08E557" w14:textId="6AD677D6" w:rsidR="00564ED5" w:rsidRPr="00196BE3" w:rsidRDefault="00564ED5"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 xml:space="preserve">Pendirian Sekolah </w:t>
      </w:r>
      <w:r w:rsidR="00497F2F">
        <w:rPr>
          <w:rFonts w:ascii="Times New Roman" w:hAnsi="Times New Roman" w:cs="Times New Roman"/>
          <w:sz w:val="20"/>
          <w:szCs w:val="20"/>
        </w:rPr>
        <w:t xml:space="preserve">THHK </w:t>
      </w:r>
      <w:r w:rsidRPr="00196BE3">
        <w:rPr>
          <w:rFonts w:ascii="Times New Roman" w:hAnsi="Times New Roman" w:cs="Times New Roman"/>
          <w:sz w:val="20"/>
          <w:szCs w:val="20"/>
        </w:rPr>
        <w:t xml:space="preserve">di Pasuruan pada tanggal 3 Mei 1904 dilatarbelakangi oleh kebutuhan untuk mengisi kekosongan lembaga pendidikan formal bagi masyarakat Tionghoa lokal. Sebelum sekolah ini berdiri akses pendidikan bagi masyarakat Tionghoa di Pasuruan sangat terbatas sebab pemerintah kolonial Belanda hanya mendirikan ELS yang eksklusif bagi anak-anak Eropa dan </w:t>
      </w:r>
      <w:r w:rsidRPr="00196BE3">
        <w:rPr>
          <w:rFonts w:ascii="Times New Roman" w:hAnsi="Times New Roman" w:cs="Times New Roman"/>
          <w:i/>
          <w:iCs/>
          <w:sz w:val="20"/>
          <w:szCs w:val="20"/>
        </w:rPr>
        <w:t>Inlandsche School</w:t>
      </w:r>
      <w:r w:rsidRPr="00196BE3">
        <w:rPr>
          <w:rFonts w:ascii="Times New Roman" w:hAnsi="Times New Roman" w:cs="Times New Roman"/>
          <w:sz w:val="20"/>
          <w:szCs w:val="20"/>
        </w:rPr>
        <w:t xml:space="preserve"> yang diperuntukkan bagi anak-anak para pejabat pribumi. Sehingga pendidikan bagi masyarakat Tionghoa saat itu hanya berupa kursus rumahan yang sangat informal, menggunakan bahasa Hokkien, dan berfokus pada sastra klasik dan cenderung kurang relevan pada ilmu pengetahuan modern. Kesadaran untuk memajukan pendidikan ini terjadi setelah kunjungan tokoh reformis Tiongkok, Kang Youwei, ke Pasuruan pada tahun 1903, yang berpidato di Klenteng Tjoe Tik Kiong dan </w:t>
      </w:r>
      <w:r w:rsidRPr="00196BE3">
        <w:rPr>
          <w:rFonts w:ascii="Times New Roman" w:hAnsi="Times New Roman" w:cs="Times New Roman"/>
          <w:sz w:val="20"/>
          <w:szCs w:val="20"/>
        </w:rPr>
        <w:lastRenderedPageBreak/>
        <w:t>menyerukan pentingnya pendidikan terstruktur untuk menjaga kebudayaan Tionghoa di tanah perantauan.</w:t>
      </w:r>
    </w:p>
    <w:p w14:paraId="5953230E" w14:textId="7BFA3271" w:rsidR="00564ED5" w:rsidRPr="00196BE3" w:rsidRDefault="00564ED5"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Dalam perkembangannya, Sekolah THHK Pasuruan melakukan upaya dalam menyatukan masyarakat Tionghoa yang multikultural. Langkah paling fundamental adalah mengganti bahasa pengantar dari dialek Hokkien menjadi bahasa Mandarin. Kebijakan ini diambil karena bahasa Hokkien dianggap merepresentasikan sistem tradisional yang bersifat kedaerahan, sedangkan bahasa Mandarin dapat menjadi alat pemersatu bagi berbagai kelompok dialek Tionghoa di Pasuruan. Antusiasme masyarakat terhadap sekolah THHK ini sangat tinggi, terbukti dengan jumlah pendaftar yang mencapai lebih dari 100 siswa pada masa awal operasionalnya. Lonjakan murid ini mendorong sekolah untuk beberapa kali berpindah lokasi dari Klenteng Tjoe Tik Kiong, pertama ke rumah Han Hoo Tong di Jl. Raya No. 19 pada tahun 1904, dan kemudian ke bangunan yang lebih luas di Jl. Raya No. 26 pada tahun 1906 untuk mengakomodasi kegiatan belajar mengajar secara maksimal.</w:t>
      </w:r>
    </w:p>
    <w:p w14:paraId="6574B204" w14:textId="6A527EF6" w:rsidR="00564ED5" w:rsidRDefault="00564ED5" w:rsidP="007825A3">
      <w:pPr>
        <w:spacing w:after="0" w:line="240" w:lineRule="auto"/>
        <w:ind w:firstLine="720"/>
        <w:contextualSpacing/>
        <w:jc w:val="both"/>
        <w:rPr>
          <w:rFonts w:ascii="Times New Roman" w:hAnsi="Times New Roman" w:cs="Times New Roman"/>
          <w:sz w:val="20"/>
          <w:szCs w:val="20"/>
        </w:rPr>
      </w:pPr>
      <w:r w:rsidRPr="00196BE3">
        <w:rPr>
          <w:rFonts w:ascii="Times New Roman" w:hAnsi="Times New Roman" w:cs="Times New Roman"/>
          <w:sz w:val="20"/>
          <w:szCs w:val="20"/>
        </w:rPr>
        <w:t>Perkembangan pesat pendidikan Tionghoa pada akhirnya memicu kekhawatiran pemerintah kolonial Belanda terhadap menguatnya rasa nasionalisme di kalangan masyarakat Tionghoa. Sebagai bentuk mitigasi terhadap hal tersebut pemerintah kolonial mendirikan HCS di Pasuruan pada tahun 1932. Kehadiran HCS menciptakan tantangan besar bagi THHK karena mayoritas keluarga Tionghoa Peranakan memilih memindahkan anak-anak mereka ke HCS, mengingat penggunaan bahasa pengantar di HCS menggunakan bahasa Belanda yang di era tersebut dianggap memiliki nilai guna yang lebih tinggi dibandingkan bahasa Mandarin. Akibatnya, THHK mengalami penurunan jumlah murid dan lebih banyak diisi oleh anak-anak dari keluarga Tionghoa Totok. Persaingan ini bahkan memicu krisis keuangan pada tahun 1936, namun sekolah berhasil bertahan berkat upaya mitigasi dari Kepala Sekolah Liem Tjie Hian yang menerapkan efisiensi anggaran, melelang karya kerajinan tangan para siswa, serta menggalang donasi dari saudagar tionghoa lokal Pasuruan sehingga berhasil memperbaiki keadaan sekolah THHK Pasuruan menjadi lebih stabil</w:t>
      </w:r>
      <w:r w:rsidR="005E22BF">
        <w:rPr>
          <w:rFonts w:ascii="Times New Roman" w:hAnsi="Times New Roman" w:cs="Times New Roman"/>
          <w:sz w:val="20"/>
          <w:szCs w:val="20"/>
        </w:rPr>
        <w:t xml:space="preserve"> hingga terpaksa tutup di era kedatangan Jepang di Pasuruan</w:t>
      </w:r>
      <w:r w:rsidRPr="00196BE3">
        <w:rPr>
          <w:rFonts w:ascii="Times New Roman" w:hAnsi="Times New Roman" w:cs="Times New Roman"/>
          <w:sz w:val="20"/>
          <w:szCs w:val="20"/>
        </w:rPr>
        <w:t>.</w:t>
      </w:r>
    </w:p>
    <w:p w14:paraId="3D50FE02" w14:textId="77777777" w:rsidR="0015206D" w:rsidRPr="00196BE3" w:rsidRDefault="0015206D" w:rsidP="007825A3">
      <w:pPr>
        <w:spacing w:after="0" w:line="240" w:lineRule="auto"/>
        <w:ind w:firstLine="720"/>
        <w:contextualSpacing/>
        <w:jc w:val="both"/>
        <w:rPr>
          <w:rFonts w:ascii="Times New Roman" w:hAnsi="Times New Roman" w:cs="Times New Roman"/>
          <w:sz w:val="20"/>
          <w:szCs w:val="20"/>
        </w:rPr>
      </w:pPr>
    </w:p>
    <w:p w14:paraId="7C073F33" w14:textId="77777777" w:rsidR="00564ED5" w:rsidRPr="00196BE3" w:rsidRDefault="00564ED5" w:rsidP="007825A3">
      <w:pPr>
        <w:spacing w:after="0" w:line="240" w:lineRule="auto"/>
        <w:contextualSpacing/>
        <w:jc w:val="both"/>
        <w:rPr>
          <w:rFonts w:ascii="Times New Roman" w:hAnsi="Times New Roman" w:cs="Times New Roman"/>
          <w:sz w:val="20"/>
          <w:szCs w:val="20"/>
        </w:rPr>
      </w:pPr>
    </w:p>
    <w:p w14:paraId="2FE84251" w14:textId="77777777" w:rsidR="008677CE" w:rsidRDefault="00564ED5" w:rsidP="008677CE">
      <w:pPr>
        <w:spacing w:after="0" w:line="240" w:lineRule="auto"/>
        <w:contextualSpacing/>
        <w:jc w:val="both"/>
        <w:rPr>
          <w:rFonts w:ascii="Times New Roman" w:hAnsi="Times New Roman" w:cs="Times New Roman"/>
          <w:b/>
          <w:bCs/>
          <w:sz w:val="20"/>
          <w:szCs w:val="20"/>
        </w:rPr>
      </w:pPr>
      <w:r w:rsidRPr="00196BE3">
        <w:rPr>
          <w:rFonts w:ascii="Times New Roman" w:hAnsi="Times New Roman" w:cs="Times New Roman"/>
          <w:b/>
          <w:bCs/>
          <w:sz w:val="20"/>
          <w:szCs w:val="20"/>
        </w:rPr>
        <w:t>DAFTAR PUSTAKA</w:t>
      </w:r>
      <w:bookmarkStart w:id="1" w:name="_Hlk212795133"/>
    </w:p>
    <w:bookmarkEnd w:id="1"/>
    <w:p w14:paraId="5C7E152B" w14:textId="77777777" w:rsidR="0015206D" w:rsidRPr="00300C99" w:rsidRDefault="0015206D" w:rsidP="0015206D">
      <w:pPr>
        <w:numPr>
          <w:ilvl w:val="0"/>
          <w:numId w:val="5"/>
        </w:numPr>
        <w:spacing w:line="240" w:lineRule="auto"/>
        <w:ind w:left="360"/>
        <w:contextualSpacing/>
        <w:jc w:val="both"/>
        <w:rPr>
          <w:rFonts w:ascii="Times New Roman" w:hAnsi="Times New Roman" w:cs="Times New Roman"/>
          <w:b/>
          <w:bCs/>
          <w:sz w:val="20"/>
          <w:szCs w:val="20"/>
        </w:rPr>
      </w:pPr>
      <w:r w:rsidRPr="00300C99">
        <w:rPr>
          <w:rFonts w:ascii="Times New Roman" w:hAnsi="Times New Roman" w:cs="Times New Roman"/>
          <w:b/>
          <w:bCs/>
          <w:sz w:val="20"/>
          <w:szCs w:val="20"/>
        </w:rPr>
        <w:t>Arsip Dokumen</w:t>
      </w:r>
    </w:p>
    <w:p w14:paraId="6BFF0D20"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i/>
          <w:iCs/>
          <w:sz w:val="20"/>
          <w:szCs w:val="20"/>
        </w:rPr>
        <w:t>Staatsblad Van Nederalndsch-Indie</w:t>
      </w:r>
      <w:r w:rsidRPr="00300C99">
        <w:rPr>
          <w:rFonts w:ascii="Times New Roman" w:hAnsi="Times New Roman" w:cs="Times New Roman"/>
          <w:sz w:val="20"/>
          <w:szCs w:val="20"/>
        </w:rPr>
        <w:t>, 1866</w:t>
      </w:r>
    </w:p>
    <w:p w14:paraId="32A78427"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i/>
          <w:iCs/>
          <w:sz w:val="20"/>
          <w:szCs w:val="20"/>
        </w:rPr>
        <w:t xml:space="preserve">Volkstelling Chineezen en Andere Vreemde Oosterlingen in Nederlandsch-Indië, Volume VII, </w:t>
      </w:r>
      <w:r w:rsidRPr="00300C99">
        <w:rPr>
          <w:rFonts w:ascii="Times New Roman" w:hAnsi="Times New Roman" w:cs="Times New Roman"/>
          <w:sz w:val="20"/>
          <w:szCs w:val="20"/>
        </w:rPr>
        <w:t>1930</w:t>
      </w:r>
    </w:p>
    <w:p w14:paraId="5F85AC00" w14:textId="77777777" w:rsidR="0015206D" w:rsidRPr="00300C99" w:rsidRDefault="0015206D" w:rsidP="0015206D">
      <w:pPr>
        <w:numPr>
          <w:ilvl w:val="0"/>
          <w:numId w:val="5"/>
        </w:numPr>
        <w:spacing w:line="240" w:lineRule="auto"/>
        <w:ind w:left="360"/>
        <w:contextualSpacing/>
        <w:jc w:val="both"/>
        <w:rPr>
          <w:rFonts w:ascii="Times New Roman" w:hAnsi="Times New Roman" w:cs="Times New Roman"/>
          <w:b/>
          <w:bCs/>
          <w:sz w:val="20"/>
          <w:szCs w:val="20"/>
        </w:rPr>
      </w:pPr>
      <w:r w:rsidRPr="00300C99">
        <w:rPr>
          <w:rFonts w:ascii="Times New Roman" w:hAnsi="Times New Roman" w:cs="Times New Roman"/>
          <w:b/>
          <w:bCs/>
          <w:sz w:val="20"/>
          <w:szCs w:val="20"/>
        </w:rPr>
        <w:t>Jurnal Penelitian</w:t>
      </w:r>
    </w:p>
    <w:p w14:paraId="2624620E"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Alindra, Devi Alvionita, and Elly Romy, ‘Fungsi Dan Peran Bahasa Tionghoa Di Indonesia’, </w:t>
      </w:r>
      <w:r w:rsidRPr="00300C99">
        <w:rPr>
          <w:rFonts w:ascii="Times New Roman" w:hAnsi="Times New Roman" w:cs="Times New Roman"/>
          <w:i/>
          <w:iCs/>
          <w:sz w:val="20"/>
          <w:szCs w:val="20"/>
        </w:rPr>
        <w:t>Jurnal Cakrawala Mandarin</w:t>
      </w:r>
      <w:r w:rsidRPr="00300C99">
        <w:rPr>
          <w:rFonts w:ascii="Times New Roman" w:hAnsi="Times New Roman" w:cs="Times New Roman"/>
          <w:sz w:val="20"/>
          <w:szCs w:val="20"/>
        </w:rPr>
        <w:t>, 6 (2022), 194 &lt;https://doi.org/10.36279/apsmi.v6i2.14&gt;</w:t>
      </w:r>
    </w:p>
    <w:p w14:paraId="5CD275B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Andi, Andi, and Selvia Darmayanti, ‘Peranan Organisasi Tiong Hoa Hwee Koan (THHK) Dalam Bidang  Pendidikan Di Batavia Tahun 1900-1908’, </w:t>
      </w:r>
      <w:r w:rsidRPr="00300C99">
        <w:rPr>
          <w:rFonts w:ascii="Times New Roman" w:hAnsi="Times New Roman" w:cs="Times New Roman"/>
          <w:i/>
          <w:iCs/>
          <w:sz w:val="20"/>
          <w:szCs w:val="20"/>
        </w:rPr>
        <w:t>Chronologia</w:t>
      </w:r>
      <w:r w:rsidRPr="00300C99">
        <w:rPr>
          <w:rFonts w:ascii="Times New Roman" w:hAnsi="Times New Roman" w:cs="Times New Roman"/>
          <w:sz w:val="20"/>
          <w:szCs w:val="20"/>
        </w:rPr>
        <w:t>, 1 (2019), 1–11 &lt;https://doi.org/10.22236/jhe.v1i1.3540&gt;</w:t>
      </w:r>
    </w:p>
    <w:p w14:paraId="10FA19DD"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Azizah, Humaira Dzakiyya, Bihar Hadil Alam, and Andia Nursyaban, ‘Gudang Jurnal Multidisiplin Ilmu Sejarah Pendidikan Di Indonesia Dari Masa Prasejarah Hingga Awal Kemerdekaan’, </w:t>
      </w:r>
      <w:r w:rsidRPr="00300C99">
        <w:rPr>
          <w:rFonts w:ascii="Times New Roman" w:hAnsi="Times New Roman" w:cs="Times New Roman"/>
          <w:i/>
          <w:iCs/>
          <w:sz w:val="20"/>
          <w:szCs w:val="20"/>
        </w:rPr>
        <w:t>Gudang Jurnal Multidisiplin Ilmu</w:t>
      </w:r>
      <w:r w:rsidRPr="00300C99">
        <w:rPr>
          <w:rFonts w:ascii="Times New Roman" w:hAnsi="Times New Roman" w:cs="Times New Roman"/>
          <w:sz w:val="20"/>
          <w:szCs w:val="20"/>
        </w:rPr>
        <w:t>, 2 (2024), 218–24</w:t>
      </w:r>
    </w:p>
    <w:p w14:paraId="65BEF1D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Danyati, Ratna, and Samuel Budiman, ‘Peranan Sekolah Tiong Hoa Hwe Koan Dan Hollandsch Chineesch School Terhadap Etnis Tionghoa’, </w:t>
      </w:r>
      <w:r w:rsidRPr="00300C99">
        <w:rPr>
          <w:rFonts w:ascii="Times New Roman" w:hAnsi="Times New Roman" w:cs="Times New Roman"/>
          <w:i/>
          <w:iCs/>
          <w:sz w:val="20"/>
          <w:szCs w:val="20"/>
        </w:rPr>
        <w:t>Cakrawala, Vol XII No. 1 Maret 2012</w:t>
      </w:r>
      <w:r w:rsidRPr="00300C99">
        <w:rPr>
          <w:rFonts w:ascii="Times New Roman" w:hAnsi="Times New Roman" w:cs="Times New Roman"/>
          <w:sz w:val="20"/>
          <w:szCs w:val="20"/>
        </w:rPr>
        <w:t>, XII (2012) &lt;https://media.neliti.com/media/publications/476734-none-dd84b388.pdf&gt;</w:t>
      </w:r>
    </w:p>
    <w:p w14:paraId="6951055F"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Fahmilda, Yacub, and Yustri Agung Prastiyono, ‘Representasi Pendidikan Peranakan Tionghoa Pada Masa Hindia-Belanda Dalam “Ruma Sekola Yang Saya Impiken” Karya Kwee Tek Hoay’, </w:t>
      </w:r>
      <w:r w:rsidRPr="00300C99">
        <w:rPr>
          <w:rFonts w:ascii="Times New Roman" w:hAnsi="Times New Roman" w:cs="Times New Roman"/>
          <w:i/>
          <w:iCs/>
          <w:sz w:val="20"/>
          <w:szCs w:val="20"/>
        </w:rPr>
        <w:t>Bahterasia: Jurnal Ilmiah Pendidikan …</w:t>
      </w:r>
      <w:r w:rsidRPr="00300C99">
        <w:rPr>
          <w:rFonts w:ascii="Times New Roman" w:hAnsi="Times New Roman" w:cs="Times New Roman"/>
          <w:sz w:val="20"/>
          <w:szCs w:val="20"/>
        </w:rPr>
        <w:t>, 2 (2021)</w:t>
      </w:r>
    </w:p>
    <w:p w14:paraId="6447EACC"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Franke, Wolfgang, ‘Chinese Epigraphic Materials in Indonesia’, </w:t>
      </w:r>
      <w:r w:rsidRPr="00300C99">
        <w:rPr>
          <w:rFonts w:ascii="Times New Roman" w:hAnsi="Times New Roman" w:cs="Times New Roman"/>
          <w:i/>
          <w:iCs/>
          <w:sz w:val="20"/>
          <w:szCs w:val="20"/>
        </w:rPr>
        <w:t>Singapore: South Seas Society</w:t>
      </w:r>
      <w:r w:rsidRPr="00300C99">
        <w:rPr>
          <w:rFonts w:ascii="Times New Roman" w:hAnsi="Times New Roman" w:cs="Times New Roman"/>
          <w:sz w:val="20"/>
          <w:szCs w:val="20"/>
        </w:rPr>
        <w:t>, 2 (1988)</w:t>
      </w:r>
    </w:p>
    <w:p w14:paraId="3607736B"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Govaars-Tjia, Ming Tien Nio, ‘Dutch Colonial Education: The Chinese Experience in Indonesia, 1900-1942’, </w:t>
      </w:r>
      <w:r w:rsidRPr="00300C99">
        <w:rPr>
          <w:rFonts w:ascii="Times New Roman" w:hAnsi="Times New Roman" w:cs="Times New Roman"/>
          <w:i/>
          <w:iCs/>
          <w:sz w:val="20"/>
          <w:szCs w:val="20"/>
        </w:rPr>
        <w:t>Journal of Chinese Overseas</w:t>
      </w:r>
      <w:r w:rsidRPr="00300C99">
        <w:rPr>
          <w:rFonts w:ascii="Times New Roman" w:hAnsi="Times New Roman" w:cs="Times New Roman"/>
          <w:sz w:val="20"/>
          <w:szCs w:val="20"/>
        </w:rPr>
        <w:t>, 2 (2006)</w:t>
      </w:r>
    </w:p>
    <w:p w14:paraId="56E3AB8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Handinoto, ‘Pasuruan Dan Arsitektur Etnis China Akhir Abad 19 Dan Awal Abad Ke 20’, </w:t>
      </w:r>
      <w:r w:rsidRPr="00300C99">
        <w:rPr>
          <w:rFonts w:ascii="Times New Roman" w:hAnsi="Times New Roman" w:cs="Times New Roman"/>
          <w:i/>
          <w:iCs/>
          <w:sz w:val="20"/>
          <w:szCs w:val="20"/>
        </w:rPr>
        <w:t>Simposium Nasional Arsitektur Vernakular 2</w:t>
      </w:r>
      <w:r w:rsidRPr="00300C99">
        <w:rPr>
          <w:rFonts w:ascii="Times New Roman" w:hAnsi="Times New Roman" w:cs="Times New Roman"/>
          <w:sz w:val="20"/>
          <w:szCs w:val="20"/>
        </w:rPr>
        <w:t>, 1931, 1–8</w:t>
      </w:r>
    </w:p>
    <w:p w14:paraId="773779AF"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p>
    <w:p w14:paraId="26441826"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Hanggara, Agie, ‘Nasionalisme Etnis Tionghoa Di Indonesia’, </w:t>
      </w:r>
      <w:r w:rsidRPr="00300C99">
        <w:rPr>
          <w:rFonts w:ascii="Times New Roman" w:hAnsi="Times New Roman" w:cs="Times New Roman"/>
          <w:i/>
          <w:iCs/>
          <w:sz w:val="20"/>
          <w:szCs w:val="20"/>
        </w:rPr>
        <w:t>Jurnal Equilibrium Vol.14</w:t>
      </w:r>
      <w:r w:rsidRPr="00300C99">
        <w:rPr>
          <w:rFonts w:ascii="Times New Roman" w:hAnsi="Times New Roman" w:cs="Times New Roman"/>
          <w:sz w:val="20"/>
          <w:szCs w:val="20"/>
        </w:rPr>
        <w:t>, 14 (2016), 56–71</w:t>
      </w:r>
    </w:p>
    <w:p w14:paraId="1D5F411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Ibrahim, ‘Tionghoa Indonesia: Dari Dikotomi Ke Mono-Identitas?’, 46–55</w:t>
      </w:r>
    </w:p>
    <w:p w14:paraId="6A51270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Isnaeni, Noor, ‘Perkembangan Pendidikan Anak-Anak Tionghoa Pada Abad 19 Hingga Akhir Orde Baru Di Indonesia’, </w:t>
      </w:r>
      <w:r w:rsidRPr="00300C99">
        <w:rPr>
          <w:rFonts w:ascii="Times New Roman" w:hAnsi="Times New Roman" w:cs="Times New Roman"/>
          <w:i/>
          <w:iCs/>
          <w:sz w:val="20"/>
          <w:szCs w:val="20"/>
        </w:rPr>
        <w:t>Khasanah Ilmu : Jurnal Pariwisata Dan Budaya</w:t>
      </w:r>
      <w:r w:rsidRPr="00300C99">
        <w:rPr>
          <w:rFonts w:ascii="Times New Roman" w:hAnsi="Times New Roman" w:cs="Times New Roman"/>
          <w:sz w:val="20"/>
          <w:szCs w:val="20"/>
        </w:rPr>
        <w:t>, 3 (2012), 10–27</w:t>
      </w:r>
    </w:p>
    <w:p w14:paraId="46526A24"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Nurhajarini, Dwi Ratna, ‘Gemeente Pasuruan 1918-1942’, V (2010), 819–30</w:t>
      </w:r>
    </w:p>
    <w:p w14:paraId="62BECEED"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Permana, Aji Rais, ‘Strategi Sekolah Etnis Tionghoa Thhk ( Tiong Hoa Hwee Koan ) Di Surakarta Dalam Menghadapi Depresi Ekonomi’, 2022, 512–21</w:t>
      </w:r>
    </w:p>
    <w:p w14:paraId="4D1550DC"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Putri, Risky Ananda, Murni Zaina, and Fadilah Rizki, ‘Melacak Kebijakan Politik Terhadap Etnis Tionghoa Di Indonesia’, </w:t>
      </w:r>
      <w:r w:rsidRPr="00300C99">
        <w:rPr>
          <w:rFonts w:ascii="Times New Roman" w:hAnsi="Times New Roman" w:cs="Times New Roman"/>
          <w:i/>
          <w:iCs/>
          <w:sz w:val="20"/>
          <w:szCs w:val="20"/>
        </w:rPr>
        <w:t>Journal of Politics and Democracy</w:t>
      </w:r>
      <w:r w:rsidRPr="00300C99">
        <w:rPr>
          <w:rFonts w:ascii="Times New Roman" w:hAnsi="Times New Roman" w:cs="Times New Roman"/>
          <w:sz w:val="20"/>
          <w:szCs w:val="20"/>
        </w:rPr>
        <w:t>, 2 (2022), 1–8 &lt;https://doi.org/10.61183/polikrasi.v2i1.15&gt;</w:t>
      </w:r>
    </w:p>
    <w:p w14:paraId="45CBDDF1"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Rohmah, F, ‘Kritik Kwee Kek Beng Terhadap Pendidikan Anak-Anak Tionghoa Di Hindia Belanda’, </w:t>
      </w:r>
      <w:r w:rsidRPr="00300C99">
        <w:rPr>
          <w:rFonts w:ascii="Times New Roman" w:hAnsi="Times New Roman" w:cs="Times New Roman"/>
          <w:i/>
          <w:iCs/>
          <w:sz w:val="20"/>
          <w:szCs w:val="20"/>
        </w:rPr>
        <w:t>AVATARA, e-Journal Pendidikan Sejarah</w:t>
      </w:r>
      <w:r w:rsidRPr="00300C99">
        <w:rPr>
          <w:rFonts w:ascii="Times New Roman" w:hAnsi="Times New Roman" w:cs="Times New Roman"/>
          <w:sz w:val="20"/>
          <w:szCs w:val="20"/>
        </w:rPr>
        <w:t>, 2 (2014), 393–98</w:t>
      </w:r>
    </w:p>
    <w:p w14:paraId="700BAD8E" w14:textId="4BC3CBB0"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Saumia, Zulfa, and Erniwati Erniwati, ‘Tiong Hwa Hwe Koan (Thhk): Perkumpulan Orang Tionghoa Pada Masa Hindia Belanda Di Padang’, </w:t>
      </w:r>
      <w:r w:rsidRPr="00300C99">
        <w:rPr>
          <w:rFonts w:ascii="Times New Roman" w:hAnsi="Times New Roman" w:cs="Times New Roman"/>
          <w:i/>
          <w:iCs/>
          <w:sz w:val="20"/>
          <w:szCs w:val="20"/>
        </w:rPr>
        <w:t xml:space="preserve">Jurnal Penelitian Sejarah Dan </w:t>
      </w:r>
      <w:r w:rsidRPr="00300C99">
        <w:rPr>
          <w:rFonts w:ascii="Times New Roman" w:hAnsi="Times New Roman" w:cs="Times New Roman"/>
          <w:i/>
          <w:iCs/>
          <w:sz w:val="20"/>
          <w:szCs w:val="20"/>
        </w:rPr>
        <w:lastRenderedPageBreak/>
        <w:t>Budaya</w:t>
      </w:r>
      <w:r w:rsidRPr="00300C99">
        <w:rPr>
          <w:rFonts w:ascii="Times New Roman" w:hAnsi="Times New Roman" w:cs="Times New Roman"/>
          <w:sz w:val="20"/>
          <w:szCs w:val="20"/>
        </w:rPr>
        <w:t>, 9 (2023), 27–46 &lt;https://doi.org/10.36424/jpsb.v9i1.340&gt;</w:t>
      </w:r>
    </w:p>
    <w:p w14:paraId="1FAA57BE" w14:textId="04F87C43"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Sonya, Rulan Aprestiandy, ‘Dilema Etnis Tionghoa Di Indonesia’, </w:t>
      </w:r>
      <w:r w:rsidRPr="00300C99">
        <w:rPr>
          <w:rFonts w:ascii="Times New Roman" w:hAnsi="Times New Roman" w:cs="Times New Roman"/>
          <w:i/>
          <w:iCs/>
          <w:sz w:val="20"/>
          <w:szCs w:val="20"/>
        </w:rPr>
        <w:t>Otonomi</w:t>
      </w:r>
      <w:r w:rsidRPr="00300C99">
        <w:rPr>
          <w:rFonts w:ascii="Times New Roman" w:hAnsi="Times New Roman" w:cs="Times New Roman"/>
          <w:sz w:val="20"/>
          <w:szCs w:val="20"/>
        </w:rPr>
        <w:t>, 20 (2020), 396–406</w:t>
      </w:r>
      <w:r w:rsidRPr="00300C99">
        <w:rPr>
          <w:rFonts w:ascii="Times New Roman" w:hAnsi="Times New Roman" w:cs="Times New Roman"/>
          <w:sz w:val="20"/>
          <w:szCs w:val="20"/>
        </w:rPr>
        <w:fldChar w:fldCharType="begin" w:fldLock="1"/>
      </w:r>
      <w:r w:rsidRPr="00300C99">
        <w:rPr>
          <w:rFonts w:ascii="Times New Roman" w:hAnsi="Times New Roman" w:cs="Times New Roman"/>
          <w:sz w:val="20"/>
          <w:szCs w:val="20"/>
        </w:rPr>
        <w:instrText xml:space="preserve">ADDIN Mendeley Bibliography CSL_BIBLIOGRAPHY </w:instrText>
      </w:r>
      <w:r w:rsidRPr="00300C99">
        <w:rPr>
          <w:rFonts w:ascii="Times New Roman" w:hAnsi="Times New Roman" w:cs="Times New Roman"/>
          <w:sz w:val="20"/>
          <w:szCs w:val="20"/>
        </w:rPr>
        <w:fldChar w:fldCharType="separate"/>
      </w:r>
    </w:p>
    <w:p w14:paraId="64F4DF8D"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Aminulloh, Muhammad, ‘Perkebunan Kopi Swasta Di Karesidenan Pasuruan Tahun 1870-1890’, </w:t>
      </w:r>
      <w:r w:rsidRPr="00300C99">
        <w:rPr>
          <w:rFonts w:ascii="Times New Roman" w:hAnsi="Times New Roman" w:cs="Times New Roman"/>
          <w:i/>
          <w:iCs/>
          <w:sz w:val="20"/>
          <w:szCs w:val="20"/>
        </w:rPr>
        <w:t>RINONTJE: Jurnal Pendidikan Dan Penelitian Sejarah Volume 4, No. 2. Oktober, 2023.</w:t>
      </w:r>
      <w:r w:rsidRPr="00300C99">
        <w:rPr>
          <w:rFonts w:ascii="Times New Roman" w:hAnsi="Times New Roman" w:cs="Times New Roman"/>
          <w:sz w:val="20"/>
          <w:szCs w:val="20"/>
        </w:rPr>
        <w:t>, 4 (2023), 89–106</w:t>
      </w:r>
    </w:p>
    <w:p w14:paraId="213101A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Andi, Andi, and Selvia Darmayanti, ‘Peranan Organisasi Tiong Hoa Hwee Koan (THHK) Dalam Bidang  Pendidikan Di Batavia Tahun 1900-1908’, </w:t>
      </w:r>
      <w:r w:rsidRPr="00300C99">
        <w:rPr>
          <w:rFonts w:ascii="Times New Roman" w:hAnsi="Times New Roman" w:cs="Times New Roman"/>
          <w:i/>
          <w:iCs/>
          <w:sz w:val="20"/>
          <w:szCs w:val="20"/>
        </w:rPr>
        <w:t>Chronologia</w:t>
      </w:r>
      <w:r w:rsidRPr="00300C99">
        <w:rPr>
          <w:rFonts w:ascii="Times New Roman" w:hAnsi="Times New Roman" w:cs="Times New Roman"/>
          <w:sz w:val="20"/>
          <w:szCs w:val="20"/>
        </w:rPr>
        <w:t>, 1 (2019), 1–11 &lt;https://doi.org/10.22236/jhe.v1i1.3540&gt;</w:t>
      </w:r>
    </w:p>
    <w:p w14:paraId="70197746"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Azizah, Humaira Dzakiyya, Bihar Hadil Alam, and Andia Nursyaban, ‘Gudang Jurnal Multidisiplin Ilmu Sejarah Pendidikan Di Indonesia Dari Masa Prasejarah Hingga Awal Kemerdekaan’, </w:t>
      </w:r>
      <w:r w:rsidRPr="00300C99">
        <w:rPr>
          <w:rFonts w:ascii="Times New Roman" w:hAnsi="Times New Roman" w:cs="Times New Roman"/>
          <w:i/>
          <w:iCs/>
          <w:sz w:val="20"/>
          <w:szCs w:val="20"/>
        </w:rPr>
        <w:t>Gudang Jurnal Multidisiplin Ilmu</w:t>
      </w:r>
      <w:r w:rsidRPr="00300C99">
        <w:rPr>
          <w:rFonts w:ascii="Times New Roman" w:hAnsi="Times New Roman" w:cs="Times New Roman"/>
          <w:sz w:val="20"/>
          <w:szCs w:val="20"/>
        </w:rPr>
        <w:t>, 2 (2024), 218–24</w:t>
      </w:r>
    </w:p>
    <w:p w14:paraId="1C01B231"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Budiman, Achmad, ‘Europeesche Gemengde Lagere School Te Pasoeroean, Sekarang Gedung SDN Pekuncen Kota Pasuruan’, </w:t>
      </w:r>
      <w:r w:rsidRPr="00300C99">
        <w:rPr>
          <w:rFonts w:ascii="Times New Roman" w:hAnsi="Times New Roman" w:cs="Times New Roman"/>
          <w:i/>
          <w:iCs/>
          <w:sz w:val="20"/>
          <w:szCs w:val="20"/>
        </w:rPr>
        <w:t>Anjani.Id</w:t>
      </w:r>
      <w:r w:rsidRPr="00300C99">
        <w:rPr>
          <w:rFonts w:ascii="Times New Roman" w:hAnsi="Times New Roman" w:cs="Times New Roman"/>
          <w:sz w:val="20"/>
          <w:szCs w:val="20"/>
        </w:rPr>
        <w:t>, 2025</w:t>
      </w:r>
    </w:p>
    <w:p w14:paraId="081DBBB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i/>
          <w:iCs/>
          <w:sz w:val="20"/>
          <w:szCs w:val="20"/>
        </w:rPr>
        <w:t>Buku Peringatan Ulang Tahun Ke 50 THHK Pasuruan 1904 - 1954</w:t>
      </w:r>
      <w:r w:rsidRPr="00300C99">
        <w:rPr>
          <w:rFonts w:ascii="Times New Roman" w:hAnsi="Times New Roman" w:cs="Times New Roman"/>
          <w:sz w:val="20"/>
          <w:szCs w:val="20"/>
        </w:rPr>
        <w:t xml:space="preserve"> (Pasuruan, 1954)</w:t>
      </w:r>
    </w:p>
    <w:p w14:paraId="77B76B57"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Danyati, Ratna, and Samuel Budiman, ‘Peranan Sekolah Tiong Hoa Hwe Koan Dan Hollandsch Chineesch School Terhadap Etnis Tionghoa’, </w:t>
      </w:r>
      <w:r w:rsidRPr="00300C99">
        <w:rPr>
          <w:rFonts w:ascii="Times New Roman" w:hAnsi="Times New Roman" w:cs="Times New Roman"/>
          <w:i/>
          <w:iCs/>
          <w:sz w:val="20"/>
          <w:szCs w:val="20"/>
        </w:rPr>
        <w:t>Cakrawala, Vol XII No. 1 Maret 2012</w:t>
      </w:r>
      <w:r w:rsidRPr="00300C99">
        <w:rPr>
          <w:rFonts w:ascii="Times New Roman" w:hAnsi="Times New Roman" w:cs="Times New Roman"/>
          <w:sz w:val="20"/>
          <w:szCs w:val="20"/>
        </w:rPr>
        <w:t>, XII (2012) &lt;https://media.neliti.com/media/publications/476734-none-dd84b388.pdf&gt;</w:t>
      </w:r>
    </w:p>
    <w:p w14:paraId="529DDF37"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Endriana, Cindy, ‘Sekolah Tiong Hwa Hwee Kwan (THHK) Di Mojokerto Pada Tahun 1907-1942’ (Universitas Negeri Surabaya, 2015)</w:t>
      </w:r>
    </w:p>
    <w:p w14:paraId="0D892F81"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Fahmilda, Yacub, and Yustri Agung Prastiyono, ‘Representasi Pendidikan Peranakan Tionghoa Pada Masa Hindia-Belanda Dalam “Ruma Sekola Yang Saya Impiken” Karya Kwee Tek Hoay’, </w:t>
      </w:r>
      <w:r w:rsidRPr="00300C99">
        <w:rPr>
          <w:rFonts w:ascii="Times New Roman" w:hAnsi="Times New Roman" w:cs="Times New Roman"/>
          <w:i/>
          <w:iCs/>
          <w:sz w:val="20"/>
          <w:szCs w:val="20"/>
        </w:rPr>
        <w:t>Bahterasia: Jurnal Ilmiah Pendidikan …</w:t>
      </w:r>
      <w:r w:rsidRPr="00300C99">
        <w:rPr>
          <w:rFonts w:ascii="Times New Roman" w:hAnsi="Times New Roman" w:cs="Times New Roman"/>
          <w:sz w:val="20"/>
          <w:szCs w:val="20"/>
        </w:rPr>
        <w:t>, 2 (2021)</w:t>
      </w:r>
    </w:p>
    <w:p w14:paraId="62F01844"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Firmani, Fahrizal, ‘Mengunjungi SDN Bangilan Kota Pasuruan, Sekolah Pribumi Tertua Di Indonesia’, </w:t>
      </w:r>
      <w:r w:rsidRPr="00300C99">
        <w:rPr>
          <w:rFonts w:ascii="Times New Roman" w:hAnsi="Times New Roman" w:cs="Times New Roman"/>
          <w:i/>
          <w:iCs/>
          <w:sz w:val="20"/>
          <w:szCs w:val="20"/>
        </w:rPr>
        <w:t>PT Probolinggo Intermedia Pers</w:t>
      </w:r>
      <w:r w:rsidRPr="00300C99">
        <w:rPr>
          <w:rFonts w:ascii="Times New Roman" w:hAnsi="Times New Roman" w:cs="Times New Roman"/>
          <w:sz w:val="20"/>
          <w:szCs w:val="20"/>
        </w:rPr>
        <w:t>, 2025</w:t>
      </w:r>
    </w:p>
    <w:p w14:paraId="2FDFCF95"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Unknown, ‘Sejarah Yayasan Sang Timur Kota Pasuruan, Sekolah Katolik Pertama Di Pasuruan’, </w:t>
      </w:r>
      <w:r w:rsidRPr="00300C99">
        <w:rPr>
          <w:rFonts w:ascii="Times New Roman" w:hAnsi="Times New Roman" w:cs="Times New Roman"/>
          <w:i/>
          <w:iCs/>
          <w:sz w:val="20"/>
          <w:szCs w:val="20"/>
        </w:rPr>
        <w:t>PT Probolinggo Intermedia Pers</w:t>
      </w:r>
      <w:r w:rsidRPr="00300C99">
        <w:rPr>
          <w:rFonts w:ascii="Times New Roman" w:hAnsi="Times New Roman" w:cs="Times New Roman"/>
          <w:sz w:val="20"/>
          <w:szCs w:val="20"/>
        </w:rPr>
        <w:t>, 2024</w:t>
      </w:r>
    </w:p>
    <w:p w14:paraId="382B49AB"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Goreti, Maria, ‘Chung Hua School Wajah Pendidikan Etnis Tionghoa Di Jember Tahun 1911-1966’, </w:t>
      </w:r>
      <w:r w:rsidRPr="00300C99">
        <w:rPr>
          <w:rFonts w:ascii="Times New Roman" w:hAnsi="Times New Roman" w:cs="Times New Roman"/>
          <w:i/>
          <w:iCs/>
          <w:sz w:val="20"/>
          <w:szCs w:val="20"/>
        </w:rPr>
        <w:t>Publika Budaya</w:t>
      </w:r>
      <w:r w:rsidRPr="00300C99">
        <w:rPr>
          <w:rFonts w:ascii="Times New Roman" w:hAnsi="Times New Roman" w:cs="Times New Roman"/>
          <w:sz w:val="20"/>
          <w:szCs w:val="20"/>
        </w:rPr>
        <w:t>, 1 (2013)</w:t>
      </w:r>
    </w:p>
    <w:p w14:paraId="6FB5E3FC"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Hamdy, Muhammad, ‘Kawasan Elit Masyarakat Eropa Di Kota Pasuruan Tahun 1918 – 1942.’, </w:t>
      </w:r>
      <w:r w:rsidRPr="00300C99">
        <w:rPr>
          <w:rFonts w:ascii="Times New Roman" w:hAnsi="Times New Roman" w:cs="Times New Roman"/>
          <w:i/>
          <w:iCs/>
          <w:sz w:val="20"/>
          <w:szCs w:val="20"/>
        </w:rPr>
        <w:t>Jurnal AVATARA</w:t>
      </w:r>
      <w:r w:rsidRPr="00300C99">
        <w:rPr>
          <w:rFonts w:ascii="Times New Roman" w:hAnsi="Times New Roman" w:cs="Times New Roman"/>
          <w:sz w:val="20"/>
          <w:szCs w:val="20"/>
        </w:rPr>
        <w:t>, 10 (2021), 1–13</w:t>
      </w:r>
    </w:p>
    <w:p w14:paraId="2FF8239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Handinoto, ‘Pasuruan Dan Arsitektur Etnis China Akhir Abad 19 Dan Awal Abad Ke 20’, </w:t>
      </w:r>
      <w:r w:rsidRPr="00300C99">
        <w:rPr>
          <w:rFonts w:ascii="Times New Roman" w:hAnsi="Times New Roman" w:cs="Times New Roman"/>
          <w:i/>
          <w:iCs/>
          <w:sz w:val="20"/>
          <w:szCs w:val="20"/>
        </w:rPr>
        <w:t>Simposium Nasional Arsitektur Vernakular 2</w:t>
      </w:r>
      <w:r w:rsidRPr="00300C99">
        <w:rPr>
          <w:rFonts w:ascii="Times New Roman" w:hAnsi="Times New Roman" w:cs="Times New Roman"/>
          <w:sz w:val="20"/>
          <w:szCs w:val="20"/>
        </w:rPr>
        <w:t>, 1931, 1–8</w:t>
      </w:r>
    </w:p>
    <w:p w14:paraId="5D7A7188"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Handoyo, </w:t>
      </w:r>
      <w:r w:rsidRPr="00300C99">
        <w:rPr>
          <w:rFonts w:ascii="Times New Roman" w:hAnsi="Times New Roman" w:cs="Times New Roman"/>
          <w:i/>
          <w:iCs/>
          <w:sz w:val="20"/>
          <w:szCs w:val="20"/>
        </w:rPr>
        <w:t>An Historical Outline 1887-1987 Indonesian Sugar Research Institute</w:t>
      </w:r>
      <w:r w:rsidRPr="00300C99">
        <w:rPr>
          <w:rFonts w:ascii="Times New Roman" w:hAnsi="Times New Roman" w:cs="Times New Roman"/>
          <w:sz w:val="20"/>
          <w:szCs w:val="20"/>
        </w:rPr>
        <w:t xml:space="preserve">, </w:t>
      </w:r>
      <w:r w:rsidRPr="00300C99">
        <w:rPr>
          <w:rFonts w:ascii="Times New Roman" w:hAnsi="Times New Roman" w:cs="Times New Roman"/>
          <w:i/>
          <w:iCs/>
          <w:sz w:val="20"/>
          <w:szCs w:val="20"/>
        </w:rPr>
        <w:t>Pusat Penelitian Perkebunan Gula Indonesia</w:t>
      </w:r>
      <w:r w:rsidRPr="00300C99">
        <w:rPr>
          <w:rFonts w:ascii="Times New Roman" w:hAnsi="Times New Roman" w:cs="Times New Roman"/>
          <w:sz w:val="20"/>
          <w:szCs w:val="20"/>
        </w:rPr>
        <w:t xml:space="preserve"> (Pasuruan, 1987)</w:t>
      </w:r>
    </w:p>
    <w:p w14:paraId="3D625D27"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Hanggara, Agie, ‘Nasionalisme Etnis Tionghoa Di Indonesia’, </w:t>
      </w:r>
      <w:r w:rsidRPr="00300C99">
        <w:rPr>
          <w:rFonts w:ascii="Times New Roman" w:hAnsi="Times New Roman" w:cs="Times New Roman"/>
          <w:i/>
          <w:iCs/>
          <w:sz w:val="20"/>
          <w:szCs w:val="20"/>
        </w:rPr>
        <w:t>Jurnal Equilibrium Vol.14</w:t>
      </w:r>
      <w:r w:rsidRPr="00300C99">
        <w:rPr>
          <w:rFonts w:ascii="Times New Roman" w:hAnsi="Times New Roman" w:cs="Times New Roman"/>
          <w:sz w:val="20"/>
          <w:szCs w:val="20"/>
        </w:rPr>
        <w:t>, 14 (2016), 56–71</w:t>
      </w:r>
    </w:p>
    <w:p w14:paraId="019C667B"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Hariawan, Teguh, ‘Tokoh Etnis Cina Paling Berpengaruh Di Pasuruan’, 2018 &lt;https://www.kompasiana.com/www.teguhhariawan/5bbf43fb6ddcae53266e1762/tokoh-etnis-cina-paling-berpengaruh-di-pasuruan-2?page=2&amp;page_images=2&gt;</w:t>
      </w:r>
    </w:p>
    <w:p w14:paraId="681430D5"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Ibrahim, ‘Tionghoa Indonesia: Dari Dikotomi Ke Mono-Identitas?’, 46–55</w:t>
      </w:r>
    </w:p>
    <w:p w14:paraId="69A24567"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Isnaeni, Noor, ‘Perkembangan Pendidikan Anak-Anak Tionghoa Pada Abad 19 Hingga Akhir Orde Baru Di Indonesia’, </w:t>
      </w:r>
      <w:r w:rsidRPr="00300C99">
        <w:rPr>
          <w:rFonts w:ascii="Times New Roman" w:hAnsi="Times New Roman" w:cs="Times New Roman"/>
          <w:i/>
          <w:iCs/>
          <w:sz w:val="20"/>
          <w:szCs w:val="20"/>
        </w:rPr>
        <w:t>Khasanah Ilmu : Jurnal Pariwisata Dan Budaya</w:t>
      </w:r>
      <w:r w:rsidRPr="00300C99">
        <w:rPr>
          <w:rFonts w:ascii="Times New Roman" w:hAnsi="Times New Roman" w:cs="Times New Roman"/>
          <w:sz w:val="20"/>
          <w:szCs w:val="20"/>
        </w:rPr>
        <w:t>, 3 (2012), 10–27</w:t>
      </w:r>
    </w:p>
    <w:p w14:paraId="114D668C"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Koan, Tiong Hoa Hwe, </w:t>
      </w:r>
      <w:r w:rsidRPr="00300C99">
        <w:rPr>
          <w:rFonts w:ascii="Times New Roman" w:hAnsi="Times New Roman" w:cs="Times New Roman"/>
          <w:i/>
          <w:iCs/>
          <w:sz w:val="20"/>
          <w:szCs w:val="20"/>
        </w:rPr>
        <w:t>Buku Peringatan 100 Tahun THHK Pasuruan 1904-2004</w:t>
      </w:r>
      <w:r w:rsidRPr="00300C99">
        <w:rPr>
          <w:rFonts w:ascii="Times New Roman" w:hAnsi="Times New Roman" w:cs="Times New Roman"/>
          <w:sz w:val="20"/>
          <w:szCs w:val="20"/>
        </w:rPr>
        <w:t xml:space="preserve"> (Pasuruan, 2004)</w:t>
      </w:r>
    </w:p>
    <w:p w14:paraId="6163D270"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Kuntowijoyo, </w:t>
      </w:r>
      <w:r w:rsidRPr="00300C99">
        <w:rPr>
          <w:rFonts w:ascii="Times New Roman" w:hAnsi="Times New Roman" w:cs="Times New Roman"/>
          <w:i/>
          <w:iCs/>
          <w:sz w:val="20"/>
          <w:szCs w:val="20"/>
        </w:rPr>
        <w:t>Pengantar Ilmu Sejarah</w:t>
      </w:r>
      <w:r w:rsidRPr="00300C99">
        <w:rPr>
          <w:rFonts w:ascii="Times New Roman" w:hAnsi="Times New Roman" w:cs="Times New Roman"/>
          <w:sz w:val="20"/>
          <w:szCs w:val="20"/>
        </w:rPr>
        <w:t xml:space="preserve"> (Yogyakarta: Tiara Wacana, 1995)</w:t>
      </w:r>
    </w:p>
    <w:p w14:paraId="347CF025"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Larasati, Sri, ‘Pengaruh Krisis Malaise Terhadap Pabrik Gula Gondang Winangun Tahun 1929 - 1940’ (Universitas Negeri Yogyakarta, 2016)</w:t>
      </w:r>
    </w:p>
    <w:p w14:paraId="3815851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‘Menelusuri Sejarah Asal Mula Pasuruan’, </w:t>
      </w:r>
      <w:r w:rsidRPr="00300C99">
        <w:rPr>
          <w:rFonts w:ascii="Times New Roman" w:hAnsi="Times New Roman" w:cs="Times New Roman"/>
          <w:i/>
          <w:iCs/>
          <w:sz w:val="20"/>
          <w:szCs w:val="20"/>
        </w:rPr>
        <w:t>Balai Arkeologi Yogyakarta</w:t>
      </w:r>
      <w:r w:rsidRPr="00300C99">
        <w:rPr>
          <w:rFonts w:ascii="Times New Roman" w:hAnsi="Times New Roman" w:cs="Times New Roman"/>
          <w:sz w:val="20"/>
          <w:szCs w:val="20"/>
        </w:rPr>
        <w:t>, 2001</w:t>
      </w:r>
    </w:p>
    <w:p w14:paraId="2C9FD8C4"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Nasution, Sati, </w:t>
      </w:r>
      <w:r w:rsidRPr="00300C99">
        <w:rPr>
          <w:rFonts w:ascii="Times New Roman" w:hAnsi="Times New Roman" w:cs="Times New Roman"/>
          <w:i/>
          <w:iCs/>
          <w:sz w:val="20"/>
          <w:szCs w:val="20"/>
        </w:rPr>
        <w:t>Sejarah Pendidikan Indonesia</w:t>
      </w:r>
      <w:r w:rsidRPr="00300C99">
        <w:rPr>
          <w:rFonts w:ascii="Times New Roman" w:hAnsi="Times New Roman" w:cs="Times New Roman"/>
          <w:sz w:val="20"/>
          <w:szCs w:val="20"/>
        </w:rPr>
        <w:t xml:space="preserve"> (Jakarta: PT Bumi Aksara, 1983)</w:t>
      </w:r>
    </w:p>
    <w:p w14:paraId="0B4B9206"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Nio Joe Lan, </w:t>
      </w:r>
      <w:r w:rsidRPr="00300C99">
        <w:rPr>
          <w:rFonts w:ascii="Times New Roman" w:hAnsi="Times New Roman" w:cs="Times New Roman"/>
          <w:i/>
          <w:iCs/>
          <w:sz w:val="20"/>
          <w:szCs w:val="20"/>
        </w:rPr>
        <w:t>Riwajat 40 Taon Dari Tiong Hoa Hwee Koan Batavia (1900-1939)</w:t>
      </w:r>
      <w:r w:rsidRPr="00300C99">
        <w:rPr>
          <w:rFonts w:ascii="Times New Roman" w:hAnsi="Times New Roman" w:cs="Times New Roman"/>
          <w:sz w:val="20"/>
          <w:szCs w:val="20"/>
        </w:rPr>
        <w:t xml:space="preserve"> (Batavia: THHK Batavia, 1940)</w:t>
      </w:r>
    </w:p>
    <w:p w14:paraId="6D2DBA35"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Nurhajarini, Dwi Ratna, ‘Gemeente Pasuruan 1918-1942’, V (2010), 819–30</w:t>
      </w:r>
    </w:p>
    <w:p w14:paraId="0E4D6EC8"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Oetomo, Dédé, ‘The Chinese of Pasuruan: Their Language and Identity’, 63 (1987), iv+292 &lt;https://doi.org/10.15144/PL-D63.cover&gt;</w:t>
      </w:r>
    </w:p>
    <w:p w14:paraId="4B9F94F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Permana, Aji Rais, ‘Strategi Sekolah Etnis Tionghoa Thhk ( Tiong Hoa Hwee Koan ) Di Surakarta Dalam Menghadapi Depresi Ekonomi’, 2022, 512–21</w:t>
      </w:r>
    </w:p>
    <w:p w14:paraId="4421DAC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Pradana, Bagus Amrulloh Eri, ‘THHK Riwayatmu Kini: Jejak Sekolah Tionghoa Di Kota Pasuruan’, 2021 &lt;https://sman1-pasuruan.sch.id/informasi/artikel/thhk-riwayatmu-kini-jejak-sekolah-tionghoa-di-kota-pasuruan/&gt; [accessed 20 September 2025]</w:t>
      </w:r>
    </w:p>
    <w:p w14:paraId="61D326D0"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Putri, Risky Ananda, Murni Zaina, and Fadilah Rizki, ‘Melacak Kebijakan Politik Terhadap Etnis Tionghoa Di Indonesia’, </w:t>
      </w:r>
      <w:r w:rsidRPr="00300C99">
        <w:rPr>
          <w:rFonts w:ascii="Times New Roman" w:hAnsi="Times New Roman" w:cs="Times New Roman"/>
          <w:i/>
          <w:iCs/>
          <w:sz w:val="20"/>
          <w:szCs w:val="20"/>
        </w:rPr>
        <w:t>Journal of Politics and Democracy</w:t>
      </w:r>
      <w:r w:rsidRPr="00300C99">
        <w:rPr>
          <w:rFonts w:ascii="Times New Roman" w:hAnsi="Times New Roman" w:cs="Times New Roman"/>
          <w:sz w:val="20"/>
          <w:szCs w:val="20"/>
        </w:rPr>
        <w:t>, 2 (2022), 1–8 &lt;https://doi.org/10.61183/polikrasi.v2i1.15&gt;</w:t>
      </w:r>
    </w:p>
    <w:p w14:paraId="7C84D293"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Rohmah, F, ‘Kritik Kwee Kek Beng Terhadap Pendidikan Anak-Anak Tionghoa Di Hindia Belanda’, </w:t>
      </w:r>
      <w:r w:rsidRPr="00300C99">
        <w:rPr>
          <w:rFonts w:ascii="Times New Roman" w:hAnsi="Times New Roman" w:cs="Times New Roman"/>
          <w:i/>
          <w:iCs/>
          <w:sz w:val="20"/>
          <w:szCs w:val="20"/>
        </w:rPr>
        <w:t>AVATARA, e-Journal Pendidikan Sejarah</w:t>
      </w:r>
      <w:r w:rsidRPr="00300C99">
        <w:rPr>
          <w:rFonts w:ascii="Times New Roman" w:hAnsi="Times New Roman" w:cs="Times New Roman"/>
          <w:sz w:val="20"/>
          <w:szCs w:val="20"/>
        </w:rPr>
        <w:t>, 2 (2014), 393–98</w:t>
      </w:r>
    </w:p>
    <w:p w14:paraId="0E8F4984"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lastRenderedPageBreak/>
        <w:t xml:space="preserve">Saumia, Zulfa, and Erniwati Erniwati, ‘Tiong Hwa Hwe Koan (Thhk): Perkumpulan Orang Tionghoa Pada Masa Hindia Belanda Di Padang’, </w:t>
      </w:r>
      <w:r w:rsidRPr="00300C99">
        <w:rPr>
          <w:rFonts w:ascii="Times New Roman" w:hAnsi="Times New Roman" w:cs="Times New Roman"/>
          <w:i/>
          <w:iCs/>
          <w:sz w:val="20"/>
          <w:szCs w:val="20"/>
        </w:rPr>
        <w:t>Jurnal Penelitian Sejarah Dan Budaya</w:t>
      </w:r>
      <w:r w:rsidRPr="00300C99">
        <w:rPr>
          <w:rFonts w:ascii="Times New Roman" w:hAnsi="Times New Roman" w:cs="Times New Roman"/>
          <w:sz w:val="20"/>
          <w:szCs w:val="20"/>
        </w:rPr>
        <w:t>, 9 (2023), 27–46 &lt;https://doi.org/10.36424/jpsb.v9i1.340&gt;</w:t>
      </w:r>
    </w:p>
    <w:p w14:paraId="2A040706"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Sonya, Rulan Aprestiandy, ‘Dilema Etnis Tionghoa Di Indonesia’, </w:t>
      </w:r>
      <w:r w:rsidRPr="00300C99">
        <w:rPr>
          <w:rFonts w:ascii="Times New Roman" w:hAnsi="Times New Roman" w:cs="Times New Roman"/>
          <w:i/>
          <w:iCs/>
          <w:sz w:val="20"/>
          <w:szCs w:val="20"/>
        </w:rPr>
        <w:t>Otonomi</w:t>
      </w:r>
      <w:r w:rsidRPr="00300C99">
        <w:rPr>
          <w:rFonts w:ascii="Times New Roman" w:hAnsi="Times New Roman" w:cs="Times New Roman"/>
          <w:sz w:val="20"/>
          <w:szCs w:val="20"/>
        </w:rPr>
        <w:t>, 20 (2020), 396–406</w:t>
      </w:r>
    </w:p>
    <w:p w14:paraId="6D7CBFAA"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Sujana Maftuh, A, Eva Wardah Syarifah, and Alfiah, ‘Etnis Tionghoa: Pluralisme Dan Regulasi Birokrasi Di Indonesia’, </w:t>
      </w:r>
      <w:r w:rsidRPr="00300C99">
        <w:rPr>
          <w:rFonts w:ascii="Times New Roman" w:hAnsi="Times New Roman" w:cs="Times New Roman"/>
          <w:i/>
          <w:iCs/>
          <w:sz w:val="20"/>
          <w:szCs w:val="20"/>
        </w:rPr>
        <w:t>Alun Sejarah: Jurnal Pendidikan Sejarah</w:t>
      </w:r>
      <w:r w:rsidRPr="00300C99">
        <w:rPr>
          <w:rFonts w:ascii="Times New Roman" w:hAnsi="Times New Roman" w:cs="Times New Roman"/>
          <w:sz w:val="20"/>
          <w:szCs w:val="20"/>
        </w:rPr>
        <w:t>, 3 (2020), 181–93</w:t>
      </w:r>
    </w:p>
    <w:p w14:paraId="65D1D2D8"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Susanto, A A, ‘Partisipasi Politik Etnik Tionghoa: Tantangan Dan Hambatan’, </w:t>
      </w:r>
      <w:r w:rsidRPr="00300C99">
        <w:rPr>
          <w:rFonts w:ascii="Times New Roman" w:hAnsi="Times New Roman" w:cs="Times New Roman"/>
          <w:i/>
          <w:iCs/>
          <w:sz w:val="20"/>
          <w:szCs w:val="20"/>
        </w:rPr>
        <w:t>Prosiding Konferensi Nasional Sosiologi (PKNS)</w:t>
      </w:r>
      <w:r w:rsidRPr="00300C99">
        <w:rPr>
          <w:rFonts w:ascii="Times New Roman" w:hAnsi="Times New Roman" w:cs="Times New Roman"/>
          <w:sz w:val="20"/>
          <w:szCs w:val="20"/>
        </w:rPr>
        <w:t>, 1 (2023), 7–9 &lt;https://pkns.portalapssi.id/index.php/pkns/article/view/94%0Ahttps://pkns.portalapssi.id/index.php/pkns/article/download/94/91&gt;</w:t>
      </w:r>
    </w:p>
    <w:p w14:paraId="3D928C80"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Susetyo, Budi, ‘Krisis Identitas Etnis Cina Di Indonesia 1’, 2 (2018), 1–8</w:t>
      </w:r>
    </w:p>
    <w:p w14:paraId="3A24D0C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Sutami, Hermina, ‘Kekhasan Pengajaran Bahasa Mandarin Di Indonesia’, </w:t>
      </w:r>
      <w:r w:rsidRPr="00300C99">
        <w:rPr>
          <w:rFonts w:ascii="Times New Roman" w:hAnsi="Times New Roman" w:cs="Times New Roman"/>
          <w:i/>
          <w:iCs/>
          <w:sz w:val="20"/>
          <w:szCs w:val="20"/>
        </w:rPr>
        <w:t>Wacana</w:t>
      </w:r>
      <w:r w:rsidRPr="00300C99">
        <w:rPr>
          <w:rFonts w:ascii="Times New Roman" w:hAnsi="Times New Roman" w:cs="Times New Roman"/>
          <w:sz w:val="20"/>
          <w:szCs w:val="20"/>
        </w:rPr>
        <w:t>, 9 (2008), 222–37 &lt;http://wacana.ui.ac.id/index.php/wjhi/article/view/214/204&gt;</w:t>
      </w:r>
    </w:p>
    <w:p w14:paraId="5B7F1AB8"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Trescott, Paul, ‘History of Kang Youwei’, </w:t>
      </w:r>
      <w:r w:rsidRPr="00300C99">
        <w:rPr>
          <w:rFonts w:ascii="Times New Roman" w:hAnsi="Times New Roman" w:cs="Times New Roman"/>
          <w:i/>
          <w:iCs/>
          <w:sz w:val="20"/>
          <w:szCs w:val="20"/>
        </w:rPr>
        <w:t>EBSCO Knowledge Advantage</w:t>
      </w:r>
      <w:r w:rsidRPr="00300C99">
        <w:rPr>
          <w:rFonts w:ascii="Times New Roman" w:hAnsi="Times New Roman" w:cs="Times New Roman"/>
          <w:sz w:val="20"/>
          <w:szCs w:val="20"/>
        </w:rPr>
        <w:t>, 2023</w:t>
      </w:r>
    </w:p>
    <w:p w14:paraId="3630E461"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Wijayanti, Yeni, ‘Kedudukan Etnis Tionghoa Dalam Multikulturalisme Indonesia: Antara Harapan Dan Kenyataan’, </w:t>
      </w:r>
      <w:r w:rsidRPr="00300C99">
        <w:rPr>
          <w:rFonts w:ascii="Times New Roman" w:hAnsi="Times New Roman" w:cs="Times New Roman"/>
          <w:i/>
          <w:iCs/>
          <w:sz w:val="20"/>
          <w:szCs w:val="20"/>
        </w:rPr>
        <w:t>Jurnal Artefak</w:t>
      </w:r>
      <w:r w:rsidRPr="00300C99">
        <w:rPr>
          <w:rFonts w:ascii="Times New Roman" w:hAnsi="Times New Roman" w:cs="Times New Roman"/>
          <w:sz w:val="20"/>
          <w:szCs w:val="20"/>
        </w:rPr>
        <w:t>, 9 (2022), 139 &lt;https://doi.org/10.25157/ja.v9i2.8425&gt;</w:t>
      </w:r>
    </w:p>
    <w:p w14:paraId="0CB6276C"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Wisnu, </w:t>
      </w:r>
      <w:r w:rsidRPr="00300C99">
        <w:rPr>
          <w:rFonts w:ascii="Times New Roman" w:hAnsi="Times New Roman" w:cs="Times New Roman"/>
          <w:i/>
          <w:iCs/>
          <w:sz w:val="20"/>
          <w:szCs w:val="20"/>
        </w:rPr>
        <w:t>Boekhandel Tan Khoen Swie Kediri: Agen Kebudayaan Jawa 1915-1963</w:t>
      </w:r>
      <w:r w:rsidRPr="00300C99">
        <w:rPr>
          <w:rFonts w:ascii="Times New Roman" w:hAnsi="Times New Roman" w:cs="Times New Roman"/>
          <w:sz w:val="20"/>
          <w:szCs w:val="20"/>
        </w:rPr>
        <w:t xml:space="preserve"> (Surabaya: Elex Media Komputindo, 2023)</w:t>
      </w:r>
    </w:p>
    <w:p w14:paraId="431306F7"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Wong, Young-Tsu, ‘Revisionism Reconsidered: Kang Youwei and the Reform Movement of 1898’, </w:t>
      </w:r>
      <w:r w:rsidRPr="00300C99">
        <w:rPr>
          <w:rFonts w:ascii="Times New Roman" w:hAnsi="Times New Roman" w:cs="Times New Roman"/>
          <w:i/>
          <w:iCs/>
          <w:sz w:val="20"/>
          <w:szCs w:val="20"/>
        </w:rPr>
        <w:t>The Journal of Asian Studies</w:t>
      </w:r>
      <w:r w:rsidRPr="00300C99">
        <w:rPr>
          <w:rFonts w:ascii="Times New Roman" w:hAnsi="Times New Roman" w:cs="Times New Roman"/>
          <w:sz w:val="20"/>
          <w:szCs w:val="20"/>
        </w:rPr>
        <w:t>, 2011</w:t>
      </w:r>
    </w:p>
    <w:p w14:paraId="4BFF1C6E"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Yudono, R. M., N. Situmeang, and W.R.D Astuti, ‘Peran Serta Etnis Tionghoa Dalam Politik Indonesia Pasca Refomasi’, </w:t>
      </w:r>
      <w:r w:rsidRPr="00300C99">
        <w:rPr>
          <w:rFonts w:ascii="Times New Roman" w:hAnsi="Times New Roman" w:cs="Times New Roman"/>
          <w:i/>
          <w:iCs/>
          <w:sz w:val="20"/>
          <w:szCs w:val="20"/>
        </w:rPr>
        <w:t>Seminar Nasional Prodi Ilmu Pemerintahan 2018</w:t>
      </w:r>
      <w:r w:rsidRPr="00300C99">
        <w:rPr>
          <w:rFonts w:ascii="Times New Roman" w:hAnsi="Times New Roman" w:cs="Times New Roman"/>
          <w:sz w:val="20"/>
          <w:szCs w:val="20"/>
        </w:rPr>
        <w:t>, 2018, 142–54</w:t>
      </w:r>
    </w:p>
    <w:p w14:paraId="14F2749E"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fldChar w:fldCharType="end"/>
      </w:r>
    </w:p>
    <w:p w14:paraId="34707DE8" w14:textId="77777777" w:rsidR="0015206D" w:rsidRPr="00300C99" w:rsidRDefault="0015206D" w:rsidP="0015206D">
      <w:pPr>
        <w:numPr>
          <w:ilvl w:val="0"/>
          <w:numId w:val="5"/>
        </w:numPr>
        <w:spacing w:line="240" w:lineRule="auto"/>
        <w:ind w:left="360"/>
        <w:contextualSpacing/>
        <w:jc w:val="both"/>
        <w:rPr>
          <w:rFonts w:ascii="Times New Roman" w:hAnsi="Times New Roman" w:cs="Times New Roman"/>
          <w:b/>
          <w:bCs/>
          <w:sz w:val="20"/>
          <w:szCs w:val="20"/>
        </w:rPr>
      </w:pPr>
      <w:r w:rsidRPr="00300C99">
        <w:rPr>
          <w:rFonts w:ascii="Times New Roman" w:hAnsi="Times New Roman" w:cs="Times New Roman"/>
          <w:b/>
          <w:bCs/>
          <w:sz w:val="20"/>
          <w:szCs w:val="20"/>
        </w:rPr>
        <w:t>Buku</w:t>
      </w:r>
    </w:p>
    <w:p w14:paraId="5A9B0313"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i/>
          <w:iCs/>
          <w:sz w:val="20"/>
          <w:szCs w:val="20"/>
        </w:rPr>
        <w:t>Buku Peringatan Ulang Tahun Ke 50 THHK Pasuruan 1904 - 1954</w:t>
      </w:r>
      <w:r w:rsidRPr="00300C99">
        <w:rPr>
          <w:rFonts w:ascii="Times New Roman" w:hAnsi="Times New Roman" w:cs="Times New Roman"/>
          <w:sz w:val="20"/>
          <w:szCs w:val="20"/>
        </w:rPr>
        <w:t xml:space="preserve"> (Pasuruan, 1954)</w:t>
      </w:r>
    </w:p>
    <w:p w14:paraId="07D1C8EC"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Faber, G.H. Von, </w:t>
      </w:r>
      <w:r w:rsidRPr="00300C99">
        <w:rPr>
          <w:rFonts w:ascii="Times New Roman" w:hAnsi="Times New Roman" w:cs="Times New Roman"/>
          <w:i/>
          <w:iCs/>
          <w:sz w:val="20"/>
          <w:szCs w:val="20"/>
        </w:rPr>
        <w:t>Oud Soerabaia: De Geschiedenis Van Indie’s Eerste Koopstad Van De Oudste Tijden Tot De Insteling Van De Gemeenteraad</w:t>
      </w:r>
      <w:r w:rsidRPr="00300C99">
        <w:rPr>
          <w:rFonts w:ascii="Times New Roman" w:hAnsi="Times New Roman" w:cs="Times New Roman"/>
          <w:sz w:val="20"/>
          <w:szCs w:val="20"/>
        </w:rPr>
        <w:t xml:space="preserve"> (Soerabaia: Gemeente Soerabaia, 1931)</w:t>
      </w:r>
    </w:p>
    <w:p w14:paraId="5938AC41"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Koan, Tiong Hoa Hwe, </w:t>
      </w:r>
      <w:r w:rsidRPr="00300C99">
        <w:rPr>
          <w:rFonts w:ascii="Times New Roman" w:hAnsi="Times New Roman" w:cs="Times New Roman"/>
          <w:i/>
          <w:iCs/>
          <w:sz w:val="20"/>
          <w:szCs w:val="20"/>
        </w:rPr>
        <w:t>Buku Peringatan 100 Tahun THHK Pasuruan 1904-2004</w:t>
      </w:r>
      <w:r w:rsidRPr="00300C99">
        <w:rPr>
          <w:rFonts w:ascii="Times New Roman" w:hAnsi="Times New Roman" w:cs="Times New Roman"/>
          <w:sz w:val="20"/>
          <w:szCs w:val="20"/>
        </w:rPr>
        <w:t xml:space="preserve"> (Pasuruan, 2004)</w:t>
      </w:r>
    </w:p>
    <w:p w14:paraId="6E352A14"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Kuntowijoyo, </w:t>
      </w:r>
      <w:r w:rsidRPr="00300C99">
        <w:rPr>
          <w:rFonts w:ascii="Times New Roman" w:hAnsi="Times New Roman" w:cs="Times New Roman"/>
          <w:i/>
          <w:iCs/>
          <w:sz w:val="20"/>
          <w:szCs w:val="20"/>
        </w:rPr>
        <w:t>Pengantar Ilmu Sejarah</w:t>
      </w:r>
      <w:r w:rsidRPr="00300C99">
        <w:rPr>
          <w:rFonts w:ascii="Times New Roman" w:hAnsi="Times New Roman" w:cs="Times New Roman"/>
          <w:sz w:val="20"/>
          <w:szCs w:val="20"/>
        </w:rPr>
        <w:t xml:space="preserve"> (Yogyakarta: Tiara Wacana, 1995)</w:t>
      </w:r>
    </w:p>
    <w:p w14:paraId="089C33C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Nasution, Sati, </w:t>
      </w:r>
      <w:r w:rsidRPr="00300C99">
        <w:rPr>
          <w:rFonts w:ascii="Times New Roman" w:hAnsi="Times New Roman" w:cs="Times New Roman"/>
          <w:i/>
          <w:iCs/>
          <w:sz w:val="20"/>
          <w:szCs w:val="20"/>
        </w:rPr>
        <w:t>Sejarah Pendidikan Indonesia</w:t>
      </w:r>
      <w:r w:rsidRPr="00300C99">
        <w:rPr>
          <w:rFonts w:ascii="Times New Roman" w:hAnsi="Times New Roman" w:cs="Times New Roman"/>
          <w:sz w:val="20"/>
          <w:szCs w:val="20"/>
        </w:rPr>
        <w:t xml:space="preserve"> (Jakarta: PT Bumi Aksara, 1983)</w:t>
      </w:r>
    </w:p>
    <w:p w14:paraId="6B7A61EE"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Nio Joe Lan, </w:t>
      </w:r>
      <w:r w:rsidRPr="00300C99">
        <w:rPr>
          <w:rFonts w:ascii="Times New Roman" w:hAnsi="Times New Roman" w:cs="Times New Roman"/>
          <w:i/>
          <w:iCs/>
          <w:sz w:val="20"/>
          <w:szCs w:val="20"/>
        </w:rPr>
        <w:t>Riwajat 40 Taon Dari Tiong Hoa Hwee Koan Batavia (1900-1939)</w:t>
      </w:r>
      <w:r w:rsidRPr="00300C99">
        <w:rPr>
          <w:rFonts w:ascii="Times New Roman" w:hAnsi="Times New Roman" w:cs="Times New Roman"/>
          <w:sz w:val="20"/>
          <w:szCs w:val="20"/>
        </w:rPr>
        <w:t xml:space="preserve"> (Batavia: THHK Batavia, 1940)</w:t>
      </w:r>
    </w:p>
    <w:p w14:paraId="510BDA1A"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Suryadinata, Leo, </w:t>
      </w:r>
      <w:r w:rsidRPr="00300C99">
        <w:rPr>
          <w:rFonts w:ascii="Times New Roman" w:hAnsi="Times New Roman" w:cs="Times New Roman"/>
          <w:i/>
          <w:iCs/>
          <w:sz w:val="20"/>
          <w:szCs w:val="20"/>
        </w:rPr>
        <w:t>Negara Dan Etnis Tionghoa: Kasus Indonesia</w:t>
      </w:r>
      <w:r w:rsidRPr="00300C99">
        <w:rPr>
          <w:rFonts w:ascii="Times New Roman" w:hAnsi="Times New Roman" w:cs="Times New Roman"/>
          <w:sz w:val="20"/>
          <w:szCs w:val="20"/>
        </w:rPr>
        <w:t xml:space="preserve"> (Jakarta: LP3ES, 2002)</w:t>
      </w:r>
    </w:p>
    <w:p w14:paraId="4EBAEDFD"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Wicaksono, Michael, </w:t>
      </w:r>
      <w:r w:rsidRPr="00300C99">
        <w:rPr>
          <w:rFonts w:ascii="Times New Roman" w:hAnsi="Times New Roman" w:cs="Times New Roman"/>
          <w:i/>
          <w:iCs/>
          <w:sz w:val="20"/>
          <w:szCs w:val="20"/>
        </w:rPr>
        <w:t>Dinasti Qing Sejarah Para Kaisar Berkuncir 1616-1850</w:t>
      </w:r>
      <w:r w:rsidRPr="00300C99">
        <w:rPr>
          <w:rFonts w:ascii="Times New Roman" w:hAnsi="Times New Roman" w:cs="Times New Roman"/>
          <w:sz w:val="20"/>
          <w:szCs w:val="20"/>
        </w:rPr>
        <w:t xml:space="preserve"> (Jakarta: PT Elex Media Komputindo, 2015)</w:t>
      </w:r>
    </w:p>
    <w:p w14:paraId="7448D4E1"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Wisnu, </w:t>
      </w:r>
      <w:r w:rsidRPr="00300C99">
        <w:rPr>
          <w:rFonts w:ascii="Times New Roman" w:hAnsi="Times New Roman" w:cs="Times New Roman"/>
          <w:i/>
          <w:iCs/>
          <w:sz w:val="20"/>
          <w:szCs w:val="20"/>
        </w:rPr>
        <w:t>Boekhandel Tan Khoen Swie Kediri: Agen Kebudayaan Jawa 1915-1963</w:t>
      </w:r>
      <w:r w:rsidRPr="00300C99">
        <w:rPr>
          <w:rFonts w:ascii="Times New Roman" w:hAnsi="Times New Roman" w:cs="Times New Roman"/>
          <w:sz w:val="20"/>
          <w:szCs w:val="20"/>
        </w:rPr>
        <w:t xml:space="preserve"> (Surabaya: Elex Media Komputindo, 2023)</w:t>
      </w:r>
    </w:p>
    <w:p w14:paraId="291BB101" w14:textId="77777777" w:rsidR="0015206D" w:rsidRPr="00300C99" w:rsidRDefault="0015206D" w:rsidP="0015206D">
      <w:pPr>
        <w:numPr>
          <w:ilvl w:val="0"/>
          <w:numId w:val="5"/>
        </w:numPr>
        <w:spacing w:line="240" w:lineRule="auto"/>
        <w:ind w:left="360"/>
        <w:contextualSpacing/>
        <w:jc w:val="both"/>
        <w:rPr>
          <w:rFonts w:ascii="Times New Roman" w:hAnsi="Times New Roman" w:cs="Times New Roman"/>
          <w:b/>
          <w:bCs/>
          <w:sz w:val="20"/>
          <w:szCs w:val="20"/>
        </w:rPr>
      </w:pPr>
      <w:r w:rsidRPr="00300C99">
        <w:rPr>
          <w:rFonts w:ascii="Times New Roman" w:hAnsi="Times New Roman" w:cs="Times New Roman"/>
          <w:b/>
          <w:bCs/>
          <w:sz w:val="20"/>
          <w:szCs w:val="20"/>
        </w:rPr>
        <w:t>Internet</w:t>
      </w:r>
    </w:p>
    <w:p w14:paraId="2662312E"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Pradana, Bagus Amrulloh Eri, ‘THHK Riwayatmu Kini: Jejak Sekolah Tionghoa Di Kota Pasuruan’, 2021 &lt;https://sman1-pasuruan.sch.id/informasi/artikel/thhk-riwayatmu-kini-jejak-sekolah-tionghoa-di-kota-pasuruan/&gt; [accessed 20 September 2025]</w:t>
      </w:r>
    </w:p>
    <w:p w14:paraId="200585EF"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Tanhati, Sysilia, and Yoanata Thamrin, ‘Cixi, Selir Nan Kontroversial Jadi Ratu Yang Memodernisasi Tiongkok’, 2023 &lt;https://nationalgeographic.grid.id/read/133667329/cixi-selir-nan-kontroversial-jadi-ratu-yang-memodernisasi-tiongkok&gt;</w:t>
      </w:r>
    </w:p>
    <w:p w14:paraId="22C831C9"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Firmani, Fahrizal, ‘Mengunjungi SDN Bangilan Kota Pasuruan, Sekolah Pribumi Tertua Di Indonesia’, </w:t>
      </w:r>
      <w:r w:rsidRPr="00300C99">
        <w:rPr>
          <w:rFonts w:ascii="Times New Roman" w:hAnsi="Times New Roman" w:cs="Times New Roman"/>
          <w:i/>
          <w:iCs/>
          <w:sz w:val="20"/>
          <w:szCs w:val="20"/>
        </w:rPr>
        <w:t>PT Probolinggo Intermedia Pers</w:t>
      </w:r>
      <w:r w:rsidRPr="00300C99">
        <w:rPr>
          <w:rFonts w:ascii="Times New Roman" w:hAnsi="Times New Roman" w:cs="Times New Roman"/>
          <w:sz w:val="20"/>
          <w:szCs w:val="20"/>
        </w:rPr>
        <w:t>, 2025</w:t>
      </w:r>
    </w:p>
    <w:p w14:paraId="7F01DF22" w14:textId="77777777" w:rsidR="0015206D" w:rsidRPr="00300C99" w:rsidRDefault="0015206D" w:rsidP="0015206D">
      <w:pPr>
        <w:spacing w:line="240" w:lineRule="auto"/>
        <w:ind w:left="1080" w:hanging="720"/>
        <w:contextualSpacing/>
        <w:jc w:val="both"/>
        <w:rPr>
          <w:rFonts w:ascii="Times New Roman" w:hAnsi="Times New Roman" w:cs="Times New Roman"/>
          <w:b/>
          <w:bCs/>
          <w:sz w:val="20"/>
          <w:szCs w:val="20"/>
        </w:rPr>
      </w:pPr>
    </w:p>
    <w:p w14:paraId="05DA1890" w14:textId="77777777" w:rsidR="0015206D" w:rsidRPr="00300C99" w:rsidRDefault="0015206D" w:rsidP="0015206D">
      <w:pPr>
        <w:numPr>
          <w:ilvl w:val="0"/>
          <w:numId w:val="5"/>
        </w:numPr>
        <w:spacing w:line="240" w:lineRule="auto"/>
        <w:ind w:left="360"/>
        <w:contextualSpacing/>
        <w:jc w:val="both"/>
        <w:rPr>
          <w:rFonts w:ascii="Times New Roman" w:hAnsi="Times New Roman" w:cs="Times New Roman"/>
          <w:b/>
          <w:bCs/>
          <w:sz w:val="20"/>
          <w:szCs w:val="20"/>
        </w:rPr>
      </w:pPr>
      <w:r w:rsidRPr="00300C99">
        <w:rPr>
          <w:rFonts w:ascii="Times New Roman" w:hAnsi="Times New Roman" w:cs="Times New Roman"/>
          <w:b/>
          <w:bCs/>
          <w:sz w:val="20"/>
          <w:szCs w:val="20"/>
        </w:rPr>
        <w:t>Narasumber</w:t>
      </w:r>
    </w:p>
    <w:p w14:paraId="1AECED8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Bapak Hartono selaku staff Pengurus Klenteng Tjoe Tik Kiong di Jalan Lombok No 7, Kec. Gadingrejo, Kota Pasuruan </w:t>
      </w:r>
    </w:p>
    <w:p w14:paraId="0E60599D"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 xml:space="preserve">Bapak Halim selaku staff Pengurus Klenteng Tjoe Tik Kiong di Jalan Lombok No 7, Kec. Gadingrejo, Kota Pasuruan </w:t>
      </w:r>
    </w:p>
    <w:p w14:paraId="215A9728"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Bapak Bagus Eri Pradana, S.Pd. selaku Guru Sejarah di SMAN 1 Pasuruan, Jalan Pantura No.15, Kec. Gadingrejo, Kota Pasuruan</w:t>
      </w:r>
    </w:p>
    <w:p w14:paraId="2B659912" w14:textId="77777777" w:rsidR="0015206D" w:rsidRPr="00300C99" w:rsidRDefault="0015206D" w:rsidP="0015206D">
      <w:pPr>
        <w:spacing w:line="240" w:lineRule="auto"/>
        <w:ind w:left="1080" w:hanging="720"/>
        <w:contextualSpacing/>
        <w:jc w:val="both"/>
        <w:rPr>
          <w:rFonts w:ascii="Times New Roman" w:hAnsi="Times New Roman" w:cs="Times New Roman"/>
          <w:sz w:val="20"/>
          <w:szCs w:val="20"/>
        </w:rPr>
      </w:pPr>
      <w:r w:rsidRPr="00300C99">
        <w:rPr>
          <w:rFonts w:ascii="Times New Roman" w:hAnsi="Times New Roman" w:cs="Times New Roman"/>
          <w:sz w:val="20"/>
          <w:szCs w:val="20"/>
        </w:rPr>
        <w:t>Bapak Marsandi M.Pd. selaku Humas di SMPN 2 Pasuruan, Jalan Soekarno Hatta No.84, Kec. Panggungrejo, Kota Pasuruan</w:t>
      </w:r>
    </w:p>
    <w:p w14:paraId="2E6DCE1E" w14:textId="6BAEF241" w:rsidR="00564ED5" w:rsidRPr="00AF0DC8" w:rsidRDefault="00564ED5" w:rsidP="00AF0DC8">
      <w:pPr>
        <w:spacing w:after="0" w:line="240" w:lineRule="auto"/>
        <w:contextualSpacing/>
        <w:jc w:val="both"/>
        <w:rPr>
          <w:rFonts w:ascii="Times New Roman" w:hAnsi="Times New Roman" w:cs="Times New Roman"/>
          <w:sz w:val="20"/>
          <w:szCs w:val="20"/>
        </w:rPr>
      </w:pPr>
    </w:p>
    <w:sectPr w:rsidR="00564ED5" w:rsidRPr="00AF0DC8" w:rsidSect="007825A3">
      <w:type w:val="continuous"/>
      <w:pgSz w:w="11906" w:h="16838" w:code="9"/>
      <w:pgMar w:top="1418" w:right="1134" w:bottom="1418" w:left="1134"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CFC48" w14:textId="77777777" w:rsidR="003E3B92" w:rsidRPr="0048293E" w:rsidRDefault="003E3B92" w:rsidP="008C54D4">
      <w:pPr>
        <w:spacing w:after="0" w:line="240" w:lineRule="auto"/>
      </w:pPr>
      <w:r w:rsidRPr="0048293E">
        <w:separator/>
      </w:r>
    </w:p>
  </w:endnote>
  <w:endnote w:type="continuationSeparator" w:id="0">
    <w:p w14:paraId="29387FB9" w14:textId="77777777" w:rsidR="003E3B92" w:rsidRPr="0048293E" w:rsidRDefault="003E3B92" w:rsidP="008C54D4">
      <w:pPr>
        <w:spacing w:after="0" w:line="240" w:lineRule="auto"/>
      </w:pPr>
      <w:r w:rsidRPr="004829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65BC7" w14:textId="77777777" w:rsidR="003E3B92" w:rsidRPr="0048293E" w:rsidRDefault="003E3B92" w:rsidP="008C54D4">
      <w:pPr>
        <w:spacing w:after="0" w:line="240" w:lineRule="auto"/>
      </w:pPr>
      <w:r w:rsidRPr="0048293E">
        <w:separator/>
      </w:r>
    </w:p>
  </w:footnote>
  <w:footnote w:type="continuationSeparator" w:id="0">
    <w:p w14:paraId="7E34EDA8" w14:textId="77777777" w:rsidR="003E3B92" w:rsidRPr="0048293E" w:rsidRDefault="003E3B92" w:rsidP="008C54D4">
      <w:pPr>
        <w:spacing w:after="0" w:line="240" w:lineRule="auto"/>
      </w:pPr>
      <w:r w:rsidRPr="0048293E">
        <w:continuationSeparator/>
      </w:r>
    </w:p>
  </w:footnote>
  <w:footnote w:id="1">
    <w:p w14:paraId="663129D2" w14:textId="70BCB162" w:rsidR="00F04D5B" w:rsidRPr="00497F2F" w:rsidRDefault="00F04D5B" w:rsidP="00F04D5B">
      <w:pPr>
        <w:pStyle w:val="FootnoteText"/>
        <w:ind w:firstLine="720"/>
        <w:jc w:val="both"/>
        <w:rPr>
          <w:rFonts w:ascii="Times New Roman" w:hAnsi="Times New Roman" w:cs="Times New Roman"/>
          <w:sz w:val="16"/>
          <w:szCs w:val="16"/>
        </w:rPr>
      </w:pPr>
      <w:r w:rsidRPr="00497F2F">
        <w:rPr>
          <w:rStyle w:val="FootnoteReference"/>
          <w:rFonts w:ascii="Times New Roman" w:hAnsi="Times New Roman" w:cs="Times New Roman"/>
          <w:sz w:val="16"/>
          <w:szCs w:val="16"/>
        </w:rPr>
        <w:footnoteRef/>
      </w:r>
      <w:r w:rsidRPr="00497F2F">
        <w:rPr>
          <w:rFonts w:ascii="Times New Roman" w:hAnsi="Times New Roman" w:cs="Times New Roman"/>
          <w:sz w:val="16"/>
          <w:szCs w:val="16"/>
        </w:rPr>
        <w:t xml:space="preserve"> Fasilitas ini sekarang lebih dikenal sebagai Pusat Penelitian Perkebunan Gula Indonesia (P3GI) yang dibangun pemerintah Hindia-belanda pada 1887 sebagai laboratorium pengembangan tanaman tebu.</w:t>
      </w:r>
    </w:p>
  </w:footnote>
  <w:footnote w:id="2">
    <w:p w14:paraId="350DAA93" w14:textId="1B1E8927" w:rsidR="00497F2F" w:rsidRPr="00497F2F" w:rsidRDefault="00497F2F">
      <w:pPr>
        <w:pStyle w:val="FootnoteText"/>
        <w:rPr>
          <w:rFonts w:ascii="Times New Roman" w:hAnsi="Times New Roman" w:cs="Times New Roman"/>
          <w:sz w:val="16"/>
          <w:szCs w:val="16"/>
        </w:rPr>
      </w:pPr>
      <w:r w:rsidRPr="00497F2F">
        <w:rPr>
          <w:rStyle w:val="FootnoteReference"/>
          <w:sz w:val="16"/>
          <w:szCs w:val="16"/>
        </w:rPr>
        <w:footnoteRef/>
      </w:r>
      <w:r w:rsidRPr="00497F2F">
        <w:rPr>
          <w:sz w:val="16"/>
          <w:szCs w:val="16"/>
        </w:rPr>
        <w:t xml:space="preserve"> </w:t>
      </w:r>
      <w:r w:rsidRPr="00497F2F">
        <w:rPr>
          <w:rFonts w:ascii="Times New Roman" w:hAnsi="Times New Roman" w:cs="Times New Roman"/>
          <w:sz w:val="16"/>
          <w:szCs w:val="16"/>
        </w:rPr>
        <w:t>Wilayah Hereenstrat kini menjadi Jl Pahlawan.</w:t>
      </w:r>
    </w:p>
  </w:footnote>
  <w:footnote w:id="3">
    <w:p w14:paraId="3C50E092" w14:textId="7D805343" w:rsidR="00497F2F" w:rsidRPr="00497F2F" w:rsidRDefault="00497F2F">
      <w:pPr>
        <w:pStyle w:val="FootnoteText"/>
        <w:rPr>
          <w:rFonts w:ascii="Times New Roman" w:hAnsi="Times New Roman" w:cs="Times New Roman"/>
          <w:sz w:val="16"/>
          <w:szCs w:val="16"/>
        </w:rPr>
      </w:pPr>
      <w:r w:rsidRPr="00497F2F">
        <w:rPr>
          <w:rStyle w:val="FootnoteReference"/>
          <w:rFonts w:ascii="Times New Roman" w:hAnsi="Times New Roman" w:cs="Times New Roman"/>
          <w:sz w:val="16"/>
          <w:szCs w:val="16"/>
        </w:rPr>
        <w:footnoteRef/>
      </w:r>
      <w:r w:rsidRPr="00497F2F">
        <w:rPr>
          <w:rFonts w:ascii="Times New Roman" w:hAnsi="Times New Roman" w:cs="Times New Roman"/>
          <w:sz w:val="16"/>
          <w:szCs w:val="16"/>
        </w:rPr>
        <w:t xml:space="preserve"> Dikeluarkannya dekrit Inlandsch Onderwijs pada 30 September 1848, menandai dimulainya pendirian sekolah untuk bumiputera di Kota Jepara dan Pasuruan.</w:t>
      </w:r>
    </w:p>
  </w:footnote>
  <w:footnote w:id="4">
    <w:p w14:paraId="48CBA966" w14:textId="77777777" w:rsidR="00513C24" w:rsidRPr="00497F2F" w:rsidRDefault="00513C24" w:rsidP="00513C24">
      <w:pPr>
        <w:pStyle w:val="FootnoteText"/>
        <w:jc w:val="both"/>
        <w:rPr>
          <w:rFonts w:ascii="Times New Roman" w:hAnsi="Times New Roman" w:cs="Times New Roman"/>
          <w:sz w:val="16"/>
          <w:szCs w:val="16"/>
        </w:rPr>
      </w:pPr>
      <w:r w:rsidRPr="00497F2F">
        <w:rPr>
          <w:rStyle w:val="FootnoteReference"/>
          <w:rFonts w:ascii="Times New Roman" w:hAnsi="Times New Roman" w:cs="Times New Roman"/>
          <w:sz w:val="16"/>
          <w:szCs w:val="16"/>
        </w:rPr>
        <w:footnoteRef/>
      </w:r>
      <w:r w:rsidRPr="00497F2F">
        <w:rPr>
          <w:rFonts w:ascii="Times New Roman" w:hAnsi="Times New Roman" w:cs="Times New Roman"/>
          <w:sz w:val="16"/>
          <w:szCs w:val="16"/>
        </w:rPr>
        <w:t xml:space="preserve"> Keempat pedoman pendidikan sekolah THHK yaitu Li (</w:t>
      </w:r>
      <w:r w:rsidRPr="00497F2F">
        <w:rPr>
          <w:rFonts w:ascii="Times New Roman" w:eastAsia="MS Gothic" w:hAnsi="Times New Roman" w:cs="Times New Roman"/>
          <w:sz w:val="16"/>
          <w:szCs w:val="16"/>
        </w:rPr>
        <w:t>礼</w:t>
      </w:r>
      <w:r w:rsidRPr="00497F2F">
        <w:rPr>
          <w:rFonts w:ascii="Times New Roman" w:hAnsi="Times New Roman" w:cs="Times New Roman"/>
          <w:sz w:val="16"/>
          <w:szCs w:val="16"/>
        </w:rPr>
        <w:t>), Yi (</w:t>
      </w:r>
      <w:r w:rsidRPr="00497F2F">
        <w:rPr>
          <w:rFonts w:ascii="Times New Roman" w:eastAsia="Microsoft JhengHei" w:hAnsi="Times New Roman" w:cs="Times New Roman"/>
          <w:sz w:val="16"/>
          <w:szCs w:val="16"/>
        </w:rPr>
        <w:t>义</w:t>
      </w:r>
      <w:r w:rsidRPr="00497F2F">
        <w:rPr>
          <w:rFonts w:ascii="Times New Roman" w:hAnsi="Times New Roman" w:cs="Times New Roman"/>
          <w:sz w:val="16"/>
          <w:szCs w:val="16"/>
        </w:rPr>
        <w:t>), Lian (</w:t>
      </w:r>
      <w:r w:rsidRPr="00497F2F">
        <w:rPr>
          <w:rFonts w:ascii="Times New Roman" w:eastAsia="MS Gothic" w:hAnsi="Times New Roman" w:cs="Times New Roman"/>
          <w:sz w:val="16"/>
          <w:szCs w:val="16"/>
        </w:rPr>
        <w:t>廉</w:t>
      </w:r>
      <w:r w:rsidRPr="00497F2F">
        <w:rPr>
          <w:rFonts w:ascii="Times New Roman" w:hAnsi="Times New Roman" w:cs="Times New Roman"/>
          <w:sz w:val="16"/>
          <w:szCs w:val="16"/>
        </w:rPr>
        <w:t>), dan Ji (</w:t>
      </w:r>
      <w:r w:rsidRPr="00497F2F">
        <w:rPr>
          <w:rFonts w:ascii="Times New Roman" w:eastAsia="MS Gothic" w:hAnsi="Times New Roman" w:cs="Times New Roman"/>
          <w:sz w:val="16"/>
          <w:szCs w:val="16"/>
        </w:rPr>
        <w:t>耻</w:t>
      </w:r>
      <w:r w:rsidRPr="00497F2F">
        <w:rPr>
          <w:rFonts w:ascii="Times New Roman" w:hAnsi="Times New Roman" w:cs="Times New Roman"/>
          <w:sz w:val="16"/>
          <w:szCs w:val="16"/>
        </w:rPr>
        <w:t>)</w:t>
      </w:r>
    </w:p>
  </w:footnote>
  <w:footnote w:id="5">
    <w:p w14:paraId="129E5EAA" w14:textId="5DA770D3" w:rsidR="00497F2F" w:rsidRPr="00497F2F" w:rsidRDefault="00497F2F">
      <w:pPr>
        <w:pStyle w:val="FootnoteText"/>
        <w:rPr>
          <w:sz w:val="16"/>
          <w:szCs w:val="16"/>
        </w:rPr>
      </w:pPr>
      <w:r w:rsidRPr="00497F2F">
        <w:rPr>
          <w:rStyle w:val="FootnoteReference"/>
          <w:sz w:val="16"/>
          <w:szCs w:val="16"/>
        </w:rPr>
        <w:footnoteRef/>
      </w:r>
      <w:r w:rsidRPr="00497F2F">
        <w:rPr>
          <w:sz w:val="16"/>
          <w:szCs w:val="16"/>
        </w:rPr>
        <w:t xml:space="preserve"> </w:t>
      </w:r>
      <w:r w:rsidRPr="00497F2F">
        <w:rPr>
          <w:rFonts w:ascii="Times New Roman" w:hAnsi="Times New Roman" w:cs="Times New Roman"/>
          <w:sz w:val="16"/>
          <w:szCs w:val="16"/>
        </w:rPr>
        <w:t>Bahasa Guo Yu kini dikenal sebagai bahasa Mandarin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EC2"/>
    <w:multiLevelType w:val="hybridMultilevel"/>
    <w:tmpl w:val="2C982E22"/>
    <w:lvl w:ilvl="0" w:tplc="46C4648E">
      <w:start w:val="1"/>
      <w:numFmt w:val="decimal"/>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3C33354D"/>
    <w:multiLevelType w:val="hybridMultilevel"/>
    <w:tmpl w:val="4B7431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9D40615"/>
    <w:multiLevelType w:val="hybridMultilevel"/>
    <w:tmpl w:val="D1FE785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723661C8"/>
    <w:multiLevelType w:val="hybridMultilevel"/>
    <w:tmpl w:val="4F82C2C6"/>
    <w:lvl w:ilvl="0" w:tplc="D7C8BE7C">
      <w:start w:val="1"/>
      <w:numFmt w:val="upperLetter"/>
      <w:lvlText w:val="%1."/>
      <w:lvlJc w:val="left"/>
      <w:pPr>
        <w:ind w:left="360" w:hanging="360"/>
      </w:pPr>
      <w:rPr>
        <w:rFonts w:hint="default"/>
        <w:b/>
        <w:bCs/>
      </w:rPr>
    </w:lvl>
    <w:lvl w:ilvl="1" w:tplc="04210019">
      <w:start w:val="1"/>
      <w:numFmt w:val="lowerLetter"/>
      <w:lvlText w:val="%2."/>
      <w:lvlJc w:val="left"/>
      <w:pPr>
        <w:ind w:left="512" w:hanging="360"/>
      </w:pPr>
    </w:lvl>
    <w:lvl w:ilvl="2" w:tplc="0421001B" w:tentative="1">
      <w:start w:val="1"/>
      <w:numFmt w:val="lowerRoman"/>
      <w:lvlText w:val="%3."/>
      <w:lvlJc w:val="right"/>
      <w:pPr>
        <w:ind w:left="1232" w:hanging="180"/>
      </w:pPr>
    </w:lvl>
    <w:lvl w:ilvl="3" w:tplc="0421000F" w:tentative="1">
      <w:start w:val="1"/>
      <w:numFmt w:val="decimal"/>
      <w:lvlText w:val="%4."/>
      <w:lvlJc w:val="left"/>
      <w:pPr>
        <w:ind w:left="1952" w:hanging="360"/>
      </w:pPr>
    </w:lvl>
    <w:lvl w:ilvl="4" w:tplc="04210019" w:tentative="1">
      <w:start w:val="1"/>
      <w:numFmt w:val="lowerLetter"/>
      <w:lvlText w:val="%5."/>
      <w:lvlJc w:val="left"/>
      <w:pPr>
        <w:ind w:left="2672" w:hanging="360"/>
      </w:pPr>
    </w:lvl>
    <w:lvl w:ilvl="5" w:tplc="0421001B" w:tentative="1">
      <w:start w:val="1"/>
      <w:numFmt w:val="lowerRoman"/>
      <w:lvlText w:val="%6."/>
      <w:lvlJc w:val="right"/>
      <w:pPr>
        <w:ind w:left="3392" w:hanging="180"/>
      </w:pPr>
    </w:lvl>
    <w:lvl w:ilvl="6" w:tplc="0421000F" w:tentative="1">
      <w:start w:val="1"/>
      <w:numFmt w:val="decimal"/>
      <w:lvlText w:val="%7."/>
      <w:lvlJc w:val="left"/>
      <w:pPr>
        <w:ind w:left="4112" w:hanging="360"/>
      </w:pPr>
    </w:lvl>
    <w:lvl w:ilvl="7" w:tplc="04210019" w:tentative="1">
      <w:start w:val="1"/>
      <w:numFmt w:val="lowerLetter"/>
      <w:lvlText w:val="%8."/>
      <w:lvlJc w:val="left"/>
      <w:pPr>
        <w:ind w:left="4832" w:hanging="360"/>
      </w:pPr>
    </w:lvl>
    <w:lvl w:ilvl="8" w:tplc="0421001B" w:tentative="1">
      <w:start w:val="1"/>
      <w:numFmt w:val="lowerRoman"/>
      <w:lvlText w:val="%9."/>
      <w:lvlJc w:val="right"/>
      <w:pPr>
        <w:ind w:left="5552" w:hanging="180"/>
      </w:pPr>
    </w:lvl>
  </w:abstractNum>
  <w:abstractNum w:abstractNumId="4" w15:restartNumberingAfterBreak="0">
    <w:nsid w:val="74257324"/>
    <w:multiLevelType w:val="hybridMultilevel"/>
    <w:tmpl w:val="1F009C1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num w:numId="1" w16cid:durableId="643317052">
    <w:abstractNumId w:val="2"/>
  </w:num>
  <w:num w:numId="2" w16cid:durableId="639303779">
    <w:abstractNumId w:val="4"/>
  </w:num>
  <w:num w:numId="3" w16cid:durableId="267659581">
    <w:abstractNumId w:val="0"/>
  </w:num>
  <w:num w:numId="4" w16cid:durableId="527378309">
    <w:abstractNumId w:val="3"/>
  </w:num>
  <w:num w:numId="5" w16cid:durableId="88397815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B2"/>
    <w:rsid w:val="000677DD"/>
    <w:rsid w:val="000C64E0"/>
    <w:rsid w:val="001141AC"/>
    <w:rsid w:val="0015206D"/>
    <w:rsid w:val="00196BE3"/>
    <w:rsid w:val="002429D1"/>
    <w:rsid w:val="002469C8"/>
    <w:rsid w:val="002C3722"/>
    <w:rsid w:val="00365CCE"/>
    <w:rsid w:val="003E3B92"/>
    <w:rsid w:val="003F2540"/>
    <w:rsid w:val="00435853"/>
    <w:rsid w:val="004370FD"/>
    <w:rsid w:val="00441662"/>
    <w:rsid w:val="00467045"/>
    <w:rsid w:val="0048293E"/>
    <w:rsid w:val="00497F2F"/>
    <w:rsid w:val="004D6F7D"/>
    <w:rsid w:val="004E0CBB"/>
    <w:rsid w:val="00513C24"/>
    <w:rsid w:val="005637BA"/>
    <w:rsid w:val="00564ED5"/>
    <w:rsid w:val="00585D40"/>
    <w:rsid w:val="00596D7A"/>
    <w:rsid w:val="005E22BF"/>
    <w:rsid w:val="006723B2"/>
    <w:rsid w:val="006C67C7"/>
    <w:rsid w:val="007825A3"/>
    <w:rsid w:val="007970A0"/>
    <w:rsid w:val="007F1B5A"/>
    <w:rsid w:val="008677CE"/>
    <w:rsid w:val="008C54D4"/>
    <w:rsid w:val="00922530"/>
    <w:rsid w:val="00971B38"/>
    <w:rsid w:val="009B4811"/>
    <w:rsid w:val="00A0084B"/>
    <w:rsid w:val="00A021F7"/>
    <w:rsid w:val="00A25287"/>
    <w:rsid w:val="00A47C18"/>
    <w:rsid w:val="00AF0DC8"/>
    <w:rsid w:val="00B07549"/>
    <w:rsid w:val="00B40166"/>
    <w:rsid w:val="00BB7CC5"/>
    <w:rsid w:val="00BD7A72"/>
    <w:rsid w:val="00BF3508"/>
    <w:rsid w:val="00C24B2C"/>
    <w:rsid w:val="00C41DFF"/>
    <w:rsid w:val="00C87D38"/>
    <w:rsid w:val="00C953E0"/>
    <w:rsid w:val="00CC127C"/>
    <w:rsid w:val="00CE705B"/>
    <w:rsid w:val="00D122BA"/>
    <w:rsid w:val="00E83AC6"/>
    <w:rsid w:val="00EA50F1"/>
    <w:rsid w:val="00ED0121"/>
    <w:rsid w:val="00EF5455"/>
    <w:rsid w:val="00F04D5B"/>
    <w:rsid w:val="00F55BB9"/>
    <w:rsid w:val="00FC2F9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84EEF"/>
  <w15:chartTrackingRefBased/>
  <w15:docId w15:val="{01897C00-DB56-4E23-9C55-1D11B382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672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72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72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3B2"/>
    <w:rPr>
      <w:rFonts w:eastAsiaTheme="majorEastAsia" w:cstheme="majorBidi"/>
      <w:color w:val="272727" w:themeColor="text1" w:themeTint="D8"/>
    </w:rPr>
  </w:style>
  <w:style w:type="paragraph" w:styleId="Title">
    <w:name w:val="Title"/>
    <w:basedOn w:val="Normal"/>
    <w:next w:val="Normal"/>
    <w:link w:val="TitleChar"/>
    <w:uiPriority w:val="10"/>
    <w:qFormat/>
    <w:rsid w:val="00672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3B2"/>
    <w:pPr>
      <w:spacing w:before="160"/>
      <w:jc w:val="center"/>
    </w:pPr>
    <w:rPr>
      <w:i/>
      <w:iCs/>
      <w:color w:val="404040" w:themeColor="text1" w:themeTint="BF"/>
    </w:rPr>
  </w:style>
  <w:style w:type="character" w:customStyle="1" w:styleId="QuoteChar">
    <w:name w:val="Quote Char"/>
    <w:basedOn w:val="DefaultParagraphFont"/>
    <w:link w:val="Quote"/>
    <w:uiPriority w:val="29"/>
    <w:rsid w:val="006723B2"/>
    <w:rPr>
      <w:i/>
      <w:iCs/>
      <w:color w:val="404040" w:themeColor="text1" w:themeTint="BF"/>
    </w:rPr>
  </w:style>
  <w:style w:type="paragraph" w:styleId="ListParagraph">
    <w:name w:val="List Paragraph"/>
    <w:basedOn w:val="Normal"/>
    <w:uiPriority w:val="34"/>
    <w:qFormat/>
    <w:rsid w:val="006723B2"/>
    <w:pPr>
      <w:ind w:left="720"/>
      <w:contextualSpacing/>
    </w:pPr>
  </w:style>
  <w:style w:type="character" w:styleId="IntenseEmphasis">
    <w:name w:val="Intense Emphasis"/>
    <w:basedOn w:val="DefaultParagraphFont"/>
    <w:uiPriority w:val="21"/>
    <w:qFormat/>
    <w:rsid w:val="006723B2"/>
    <w:rPr>
      <w:i/>
      <w:iCs/>
      <w:color w:val="0F4761" w:themeColor="accent1" w:themeShade="BF"/>
    </w:rPr>
  </w:style>
  <w:style w:type="paragraph" w:styleId="IntenseQuote">
    <w:name w:val="Intense Quote"/>
    <w:basedOn w:val="Normal"/>
    <w:next w:val="Normal"/>
    <w:link w:val="IntenseQuoteChar"/>
    <w:uiPriority w:val="30"/>
    <w:qFormat/>
    <w:rsid w:val="00672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3B2"/>
    <w:rPr>
      <w:i/>
      <w:iCs/>
      <w:color w:val="0F4761" w:themeColor="accent1" w:themeShade="BF"/>
    </w:rPr>
  </w:style>
  <w:style w:type="character" w:styleId="IntenseReference">
    <w:name w:val="Intense Reference"/>
    <w:basedOn w:val="DefaultParagraphFont"/>
    <w:uiPriority w:val="32"/>
    <w:qFormat/>
    <w:rsid w:val="006723B2"/>
    <w:rPr>
      <w:b/>
      <w:bCs/>
      <w:smallCaps/>
      <w:color w:val="0F4761" w:themeColor="accent1" w:themeShade="BF"/>
      <w:spacing w:val="5"/>
    </w:rPr>
  </w:style>
  <w:style w:type="character" w:styleId="Hyperlink">
    <w:name w:val="Hyperlink"/>
    <w:basedOn w:val="DefaultParagraphFont"/>
    <w:uiPriority w:val="99"/>
    <w:unhideWhenUsed/>
    <w:rsid w:val="006723B2"/>
    <w:rPr>
      <w:color w:val="467886" w:themeColor="hyperlink"/>
      <w:u w:val="single"/>
    </w:rPr>
  </w:style>
  <w:style w:type="character" w:styleId="UnresolvedMention">
    <w:name w:val="Unresolved Mention"/>
    <w:basedOn w:val="DefaultParagraphFont"/>
    <w:uiPriority w:val="99"/>
    <w:semiHidden/>
    <w:unhideWhenUsed/>
    <w:rsid w:val="006723B2"/>
    <w:rPr>
      <w:color w:val="605E5C"/>
      <w:shd w:val="clear" w:color="auto" w:fill="E1DFDD"/>
    </w:rPr>
  </w:style>
  <w:style w:type="paragraph" w:styleId="FootnoteText">
    <w:name w:val="footnote text"/>
    <w:basedOn w:val="Normal"/>
    <w:link w:val="FootnoteTextChar"/>
    <w:uiPriority w:val="99"/>
    <w:unhideWhenUsed/>
    <w:rsid w:val="008C54D4"/>
    <w:pPr>
      <w:spacing w:after="0" w:line="240" w:lineRule="auto"/>
    </w:pPr>
    <w:rPr>
      <w:sz w:val="20"/>
      <w:szCs w:val="20"/>
    </w:rPr>
  </w:style>
  <w:style w:type="character" w:customStyle="1" w:styleId="FootnoteTextChar">
    <w:name w:val="Footnote Text Char"/>
    <w:basedOn w:val="DefaultParagraphFont"/>
    <w:link w:val="FootnoteText"/>
    <w:uiPriority w:val="99"/>
    <w:rsid w:val="008C54D4"/>
    <w:rPr>
      <w:sz w:val="20"/>
      <w:szCs w:val="20"/>
    </w:rPr>
  </w:style>
  <w:style w:type="character" w:styleId="FootnoteReference">
    <w:name w:val="footnote reference"/>
    <w:basedOn w:val="DefaultParagraphFont"/>
    <w:uiPriority w:val="99"/>
    <w:semiHidden/>
    <w:unhideWhenUsed/>
    <w:rsid w:val="008C54D4"/>
    <w:rPr>
      <w:vertAlign w:val="superscript"/>
    </w:rPr>
  </w:style>
  <w:style w:type="table" w:styleId="TableGrid">
    <w:name w:val="Table Grid"/>
    <w:basedOn w:val="TableNormal"/>
    <w:uiPriority w:val="39"/>
    <w:rsid w:val="00E8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9D1"/>
    <w:rPr>
      <w:sz w:val="16"/>
      <w:szCs w:val="16"/>
    </w:rPr>
  </w:style>
  <w:style w:type="paragraph" w:styleId="CommentText">
    <w:name w:val="annotation text"/>
    <w:basedOn w:val="Normal"/>
    <w:link w:val="CommentTextChar"/>
    <w:uiPriority w:val="99"/>
    <w:unhideWhenUsed/>
    <w:rsid w:val="002429D1"/>
    <w:pPr>
      <w:spacing w:line="240" w:lineRule="auto"/>
    </w:pPr>
    <w:rPr>
      <w:sz w:val="20"/>
      <w:szCs w:val="20"/>
    </w:rPr>
  </w:style>
  <w:style w:type="character" w:customStyle="1" w:styleId="CommentTextChar">
    <w:name w:val="Comment Text Char"/>
    <w:basedOn w:val="DefaultParagraphFont"/>
    <w:link w:val="CommentText"/>
    <w:uiPriority w:val="99"/>
    <w:rsid w:val="002429D1"/>
    <w:rPr>
      <w:sz w:val="20"/>
      <w:szCs w:val="20"/>
      <w:lang w:val="id-ID"/>
    </w:rPr>
  </w:style>
  <w:style w:type="paragraph" w:styleId="CommentSubject">
    <w:name w:val="annotation subject"/>
    <w:basedOn w:val="CommentText"/>
    <w:next w:val="CommentText"/>
    <w:link w:val="CommentSubjectChar"/>
    <w:uiPriority w:val="99"/>
    <w:semiHidden/>
    <w:unhideWhenUsed/>
    <w:rsid w:val="002429D1"/>
    <w:rPr>
      <w:b/>
      <w:bCs/>
    </w:rPr>
  </w:style>
  <w:style w:type="character" w:customStyle="1" w:styleId="CommentSubjectChar">
    <w:name w:val="Comment Subject Char"/>
    <w:basedOn w:val="CommentTextChar"/>
    <w:link w:val="CommentSubject"/>
    <w:uiPriority w:val="99"/>
    <w:semiHidden/>
    <w:rsid w:val="002429D1"/>
    <w:rPr>
      <w:b/>
      <w:bCs/>
      <w:sz w:val="20"/>
      <w:szCs w:val="20"/>
      <w:lang w:val="id-ID"/>
    </w:rPr>
  </w:style>
  <w:style w:type="paragraph" w:styleId="EndnoteText">
    <w:name w:val="endnote text"/>
    <w:basedOn w:val="Normal"/>
    <w:link w:val="EndnoteTextChar"/>
    <w:uiPriority w:val="99"/>
    <w:semiHidden/>
    <w:unhideWhenUsed/>
    <w:rsid w:val="004E0CB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E0CBB"/>
    <w:rPr>
      <w:sz w:val="20"/>
      <w:szCs w:val="20"/>
      <w:lang w:val="id-ID"/>
    </w:rPr>
  </w:style>
  <w:style w:type="character" w:styleId="EndnoteReference">
    <w:name w:val="endnote reference"/>
    <w:basedOn w:val="DefaultParagraphFont"/>
    <w:uiPriority w:val="99"/>
    <w:semiHidden/>
    <w:unhideWhenUsed/>
    <w:rsid w:val="004E0C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yualifian.21053@mhs.unes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isnu@unes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19741-90E5-4244-B603-168A387D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10</Pages>
  <Words>9838</Words>
  <Characters>56077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Bayu Alifian</dc:creator>
  <cp:keywords/>
  <dc:description/>
  <cp:lastModifiedBy>Bayu Alifian</cp:lastModifiedBy>
  <cp:revision>4</cp:revision>
  <cp:lastPrinted>2026-06-28T08:10:00Z</cp:lastPrinted>
  <dcterms:created xsi:type="dcterms:W3CDTF">2026-06-27T05:36:00Z</dcterms:created>
  <dcterms:modified xsi:type="dcterms:W3CDTF">2026-07-06T11:11:00Z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11d2b80c-ef34-36e2-941e-81bdcd309d6a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http://www.zotero.org/styles/apa</vt:lpwstr>
  </property>
  <property fmtid="{D5CDD505-2E9C-101B-9397-08002B2CF9AE}" pid="8" name="Mendeley Recent Style Name 1_1">
    <vt:lpwstr>APA Style 7th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APSA Style Manual revised 2018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ASA Style Guide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