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49D8C" w14:textId="77777777" w:rsidR="009968A7" w:rsidRPr="009968A7" w:rsidRDefault="009968A7" w:rsidP="009968A7">
      <w:pPr>
        <w:widowControl w:val="0"/>
        <w:ind w:left="2268"/>
        <w:rPr>
          <w:rFonts w:ascii="Century Gothic" w:eastAsia="Century Gothic" w:hAnsi="Century Gothic" w:cs="Century Gothic"/>
          <w:b/>
          <w:bCs/>
          <w:color w:val="000000"/>
          <w:sz w:val="28"/>
          <w:szCs w:val="28"/>
        </w:rPr>
      </w:pPr>
      <w:r w:rsidRPr="009968A7">
        <w:rPr>
          <w:rFonts w:ascii="Century Gothic" w:eastAsia="Century Gothic" w:hAnsi="Century Gothic" w:cs="Century Gothic"/>
          <w:b/>
          <w:bCs/>
          <w:color w:val="000000"/>
          <w:sz w:val="28"/>
          <w:szCs w:val="28"/>
        </w:rPr>
        <w:t>LEARNING VOCAL TECHNIQUES IN THE MATERIAL</w:t>
      </w:r>
    </w:p>
    <w:p w14:paraId="6D9CCE7C" w14:textId="77777777" w:rsidR="009968A7" w:rsidRPr="009968A7" w:rsidRDefault="009968A7" w:rsidP="009968A7">
      <w:pPr>
        <w:widowControl w:val="0"/>
        <w:ind w:left="2268"/>
        <w:rPr>
          <w:rFonts w:ascii="Century Gothic" w:eastAsia="Century Gothic" w:hAnsi="Century Gothic" w:cs="Century Gothic"/>
          <w:b/>
          <w:bCs/>
          <w:color w:val="000000"/>
          <w:sz w:val="28"/>
          <w:szCs w:val="28"/>
        </w:rPr>
      </w:pPr>
      <w:r w:rsidRPr="009968A7">
        <w:rPr>
          <w:rFonts w:ascii="Century Gothic" w:eastAsia="Century Gothic" w:hAnsi="Century Gothic" w:cs="Century Gothic"/>
          <w:b/>
          <w:bCs/>
          <w:color w:val="000000"/>
          <w:sz w:val="28"/>
          <w:szCs w:val="28"/>
        </w:rPr>
        <w:t xml:space="preserve">9th GRADE </w:t>
      </w:r>
      <w:r w:rsidRPr="00EB305A">
        <w:rPr>
          <w:rFonts w:ascii="Century Gothic" w:eastAsia="Century Gothic" w:hAnsi="Century Gothic" w:cs="Century Gothic"/>
          <w:b/>
          <w:bCs/>
          <w:i/>
          <w:iCs/>
          <w:color w:val="000000"/>
          <w:sz w:val="28"/>
          <w:szCs w:val="28"/>
        </w:rPr>
        <w:t>VOCAL GROUP AT SMPN 1 PURWODADI</w:t>
      </w:r>
    </w:p>
    <w:p w14:paraId="4D915806" w14:textId="33AA67F4" w:rsidR="006326C5" w:rsidRDefault="009968A7" w:rsidP="009968A7">
      <w:pPr>
        <w:widowControl w:val="0"/>
        <w:ind w:left="2268"/>
        <w:rPr>
          <w:rFonts w:ascii="Century Gothic" w:eastAsia="Century Gothic" w:hAnsi="Century Gothic" w:cs="Century Gothic"/>
          <w:b/>
          <w:bCs/>
          <w:color w:val="000000"/>
          <w:sz w:val="28"/>
          <w:szCs w:val="28"/>
        </w:rPr>
      </w:pPr>
      <w:r w:rsidRPr="009968A7">
        <w:rPr>
          <w:rFonts w:ascii="Century Gothic" w:eastAsia="Century Gothic" w:hAnsi="Century Gothic" w:cs="Century Gothic"/>
          <w:b/>
          <w:bCs/>
          <w:color w:val="000000"/>
          <w:sz w:val="28"/>
          <w:szCs w:val="28"/>
        </w:rPr>
        <w:t>PASURUAN</w:t>
      </w:r>
    </w:p>
    <w:p w14:paraId="5BEAB4B8" w14:textId="77777777" w:rsidR="006326C5" w:rsidRDefault="00BF261B">
      <w:pPr>
        <w:widowControl w:val="0"/>
        <w:pBdr>
          <w:top w:val="nil"/>
          <w:left w:val="nil"/>
          <w:bottom w:val="nil"/>
          <w:right w:val="nil"/>
          <w:between w:val="nil"/>
        </w:pBdr>
        <w:spacing w:before="15"/>
        <w:ind w:left="2268"/>
        <w:rPr>
          <w:rFonts w:ascii="Century Gothic" w:eastAsia="Century Gothic" w:hAnsi="Century Gothic" w:cs="Century Gothic"/>
          <w:color w:val="000000"/>
          <w:sz w:val="24"/>
          <w:szCs w:val="24"/>
        </w:rPr>
      </w:pPr>
      <w:r>
        <w:rPr>
          <w:noProof/>
        </w:rPr>
        <mc:AlternateContent>
          <mc:Choice Requires="wps">
            <w:drawing>
              <wp:anchor distT="0" distB="0" distL="114300" distR="114300" simplePos="0" relativeHeight="251658240" behindDoc="0" locked="0" layoutInCell="1" hidden="0" allowOverlap="1" wp14:anchorId="07B98350" wp14:editId="72EF3C39">
                <wp:simplePos x="0" y="0"/>
                <wp:positionH relativeFrom="column">
                  <wp:posOffset>-431799</wp:posOffset>
                </wp:positionH>
                <wp:positionV relativeFrom="paragraph">
                  <wp:posOffset>254000</wp:posOffset>
                </wp:positionV>
                <wp:extent cx="1637030" cy="2347595"/>
                <wp:effectExtent l="0" t="0" r="0" b="0"/>
                <wp:wrapNone/>
                <wp:docPr id="1984703689" name="Rectangle 1984703689"/>
                <wp:cNvGraphicFramePr/>
                <a:graphic xmlns:a="http://schemas.openxmlformats.org/drawingml/2006/main">
                  <a:graphicData uri="http://schemas.microsoft.com/office/word/2010/wordprocessingShape">
                    <wps:wsp>
                      <wps:cNvSpPr/>
                      <wps:spPr>
                        <a:xfrm>
                          <a:off x="4532248" y="2610965"/>
                          <a:ext cx="1627505" cy="2338070"/>
                        </a:xfrm>
                        <a:prstGeom prst="rect">
                          <a:avLst/>
                        </a:prstGeom>
                        <a:noFill/>
                        <a:ln>
                          <a:noFill/>
                        </a:ln>
                      </wps:spPr>
                      <wps:txbx>
                        <w:txbxContent>
                          <w:p w14:paraId="6370AE3E" w14:textId="77777777" w:rsidR="006326C5" w:rsidRDefault="00BF261B">
                            <w:pPr>
                              <w:ind w:left="106" w:firstLine="106"/>
                              <w:textDirection w:val="btLr"/>
                            </w:pPr>
                            <w:r>
                              <w:rPr>
                                <w:color w:val="231916"/>
                                <w:sz w:val="14"/>
                              </w:rPr>
                              <w:t>E-ISSN 2338-6770</w:t>
                            </w:r>
                          </w:p>
                          <w:p w14:paraId="74D977E2" w14:textId="77777777" w:rsidR="006326C5" w:rsidRDefault="006326C5">
                            <w:pPr>
                              <w:spacing w:before="11"/>
                              <w:textDirection w:val="btLr"/>
                            </w:pPr>
                          </w:p>
                          <w:p w14:paraId="55D90080" w14:textId="77777777" w:rsidR="006326C5" w:rsidRDefault="00BF261B">
                            <w:pPr>
                              <w:ind w:left="106" w:firstLine="106"/>
                              <w:textDirection w:val="btLr"/>
                            </w:pPr>
                            <w:r>
                              <w:rPr>
                                <w:rFonts w:ascii="FS Me Light" w:eastAsia="FS Me Light" w:hAnsi="FS Me Light" w:cs="FS Me Light"/>
                                <w:color w:val="231916"/>
                                <w:sz w:val="14"/>
                              </w:rPr>
                              <w:t>Tanggal pengajuan : -</w:t>
                            </w:r>
                          </w:p>
                          <w:p w14:paraId="00F521D2" w14:textId="77777777" w:rsidR="006326C5" w:rsidRDefault="00BF261B">
                            <w:pPr>
                              <w:spacing w:before="53"/>
                              <w:ind w:left="106" w:firstLine="106"/>
                              <w:textDirection w:val="btLr"/>
                            </w:pPr>
                            <w:r>
                              <w:rPr>
                                <w:rFonts w:ascii="FS Me Light" w:eastAsia="FS Me Light" w:hAnsi="FS Me Light" w:cs="FS Me Light"/>
                                <w:color w:val="231916"/>
                                <w:sz w:val="14"/>
                              </w:rPr>
                              <w:t>Tanggal revisi : -</w:t>
                            </w:r>
                          </w:p>
                          <w:p w14:paraId="571F174E" w14:textId="77777777" w:rsidR="006326C5" w:rsidRDefault="00BF261B">
                            <w:pPr>
                              <w:spacing w:before="53"/>
                              <w:ind w:left="106" w:firstLine="106"/>
                              <w:textDirection w:val="btLr"/>
                            </w:pPr>
                            <w:r>
                              <w:rPr>
                                <w:rFonts w:ascii="FS Me Light" w:eastAsia="FS Me Light" w:hAnsi="FS Me Light" w:cs="FS Me Light"/>
                                <w:color w:val="231916"/>
                                <w:sz w:val="14"/>
                              </w:rPr>
                              <w:t>Tanggal diterima : -</w:t>
                            </w:r>
                          </w:p>
                          <w:p w14:paraId="5ECDF702" w14:textId="77777777" w:rsidR="006326C5" w:rsidRDefault="006326C5" w:rsidP="00A13B32">
                            <w:pPr>
                              <w:textDirection w:val="btLr"/>
                            </w:pPr>
                          </w:p>
                          <w:p w14:paraId="1E89EDB5" w14:textId="77777777" w:rsidR="006326C5" w:rsidRDefault="00BF261B" w:rsidP="00A13B32">
                            <w:pPr>
                              <w:spacing w:line="316" w:lineRule="auto"/>
                              <w:ind w:left="106" w:right="44" w:firstLine="106"/>
                              <w:textDirection w:val="btLr"/>
                            </w:pPr>
                            <w:r>
                              <w:rPr>
                                <w:rFonts w:ascii="FS Me Light" w:eastAsia="FS Me Light" w:hAnsi="FS Me Light" w:cs="FS Me Light"/>
                                <w:color w:val="231916"/>
                                <w:sz w:val="14"/>
                              </w:rPr>
                              <w:t xml:space="preserve">Alamat Korespondensi: </w:t>
                            </w:r>
                          </w:p>
                          <w:p w14:paraId="3BACC176" w14:textId="77777777" w:rsidR="00A13B32" w:rsidRPr="004221C8" w:rsidRDefault="00A13B32" w:rsidP="00A13B32">
                            <w:pPr>
                              <w:pStyle w:val="NormalWeb"/>
                              <w:spacing w:before="0" w:beforeAutospacing="0"/>
                            </w:pPr>
                            <w:r w:rsidRPr="004221C8">
                              <w:rPr>
                                <w:sz w:val="14"/>
                                <w:szCs w:val="14"/>
                              </w:rPr>
                              <w:t xml:space="preserve">Gedung T.11, </w:t>
                            </w:r>
                            <w:proofErr w:type="spellStart"/>
                            <w:r w:rsidRPr="004221C8">
                              <w:rPr>
                                <w:sz w:val="14"/>
                                <w:szCs w:val="14"/>
                              </w:rPr>
                              <w:t>Fakultas</w:t>
                            </w:r>
                            <w:proofErr w:type="spellEnd"/>
                            <w:r w:rsidRPr="004221C8">
                              <w:rPr>
                                <w:sz w:val="14"/>
                                <w:szCs w:val="14"/>
                              </w:rPr>
                              <w:t xml:space="preserve"> Bahasa dan </w:t>
                            </w:r>
                            <w:proofErr w:type="spellStart"/>
                            <w:r w:rsidRPr="004221C8">
                              <w:rPr>
                                <w:sz w:val="14"/>
                                <w:szCs w:val="14"/>
                              </w:rPr>
                              <w:t>Seni</w:t>
                            </w:r>
                            <w:proofErr w:type="spellEnd"/>
                            <w:r w:rsidRPr="004221C8">
                              <w:rPr>
                                <w:sz w:val="14"/>
                                <w:szCs w:val="14"/>
                              </w:rPr>
                              <w:t xml:space="preserve"> (FBS)</w:t>
                            </w:r>
                            <w:r>
                              <w:rPr>
                                <w:sz w:val="14"/>
                                <w:szCs w:val="14"/>
                              </w:rPr>
                              <w:t>.</w:t>
                            </w:r>
                            <w:r w:rsidRPr="004221C8">
                              <w:t xml:space="preserve"> </w:t>
                            </w:r>
                            <w:proofErr w:type="spellStart"/>
                            <w:r w:rsidRPr="004221C8">
                              <w:rPr>
                                <w:sz w:val="14"/>
                                <w:szCs w:val="14"/>
                              </w:rPr>
                              <w:t>Kampus</w:t>
                            </w:r>
                            <w:proofErr w:type="spellEnd"/>
                            <w:r w:rsidRPr="004221C8">
                              <w:rPr>
                                <w:sz w:val="14"/>
                                <w:szCs w:val="14"/>
                              </w:rPr>
                              <w:t xml:space="preserve"> </w:t>
                            </w:r>
                            <w:proofErr w:type="spellStart"/>
                            <w:r w:rsidRPr="004221C8">
                              <w:rPr>
                                <w:sz w:val="14"/>
                                <w:szCs w:val="14"/>
                              </w:rPr>
                              <w:t>Unesa</w:t>
                            </w:r>
                            <w:proofErr w:type="spellEnd"/>
                            <w:r w:rsidRPr="004221C8">
                              <w:rPr>
                                <w:sz w:val="14"/>
                                <w:szCs w:val="14"/>
                              </w:rPr>
                              <w:t xml:space="preserve"> </w:t>
                            </w:r>
                            <w:proofErr w:type="spellStart"/>
                            <w:r w:rsidRPr="004221C8">
                              <w:rPr>
                                <w:sz w:val="14"/>
                                <w:szCs w:val="14"/>
                              </w:rPr>
                              <w:t>Lidah</w:t>
                            </w:r>
                            <w:proofErr w:type="spellEnd"/>
                            <w:r w:rsidRPr="004221C8">
                              <w:rPr>
                                <w:sz w:val="14"/>
                                <w:szCs w:val="14"/>
                              </w:rPr>
                              <w:t xml:space="preserve"> </w:t>
                            </w:r>
                            <w:proofErr w:type="spellStart"/>
                            <w:r w:rsidRPr="004221C8">
                              <w:rPr>
                                <w:sz w:val="14"/>
                                <w:szCs w:val="14"/>
                              </w:rPr>
                              <w:t>Wetan</w:t>
                            </w:r>
                            <w:proofErr w:type="spellEnd"/>
                            <w:r w:rsidRPr="004221C8">
                              <w:rPr>
                                <w:sz w:val="14"/>
                                <w:szCs w:val="14"/>
                              </w:rPr>
                              <w:t xml:space="preserve">, Jl. </w:t>
                            </w:r>
                            <w:proofErr w:type="spellStart"/>
                            <w:r w:rsidRPr="004221C8">
                              <w:rPr>
                                <w:sz w:val="14"/>
                                <w:szCs w:val="14"/>
                              </w:rPr>
                              <w:t>Rektorat</w:t>
                            </w:r>
                            <w:proofErr w:type="spellEnd"/>
                            <w:r w:rsidRPr="004221C8">
                              <w:rPr>
                                <w:sz w:val="14"/>
                                <w:szCs w:val="14"/>
                              </w:rPr>
                              <w:t xml:space="preserve"> </w:t>
                            </w:r>
                            <w:proofErr w:type="spellStart"/>
                            <w:r w:rsidRPr="004221C8">
                              <w:rPr>
                                <w:sz w:val="14"/>
                                <w:szCs w:val="14"/>
                              </w:rPr>
                              <w:t>Unesa</w:t>
                            </w:r>
                            <w:proofErr w:type="spellEnd"/>
                            <w:r w:rsidRPr="004221C8">
                              <w:rPr>
                                <w:sz w:val="14"/>
                                <w:szCs w:val="14"/>
                              </w:rPr>
                              <w:t xml:space="preserve">, </w:t>
                            </w:r>
                            <w:proofErr w:type="spellStart"/>
                            <w:r w:rsidRPr="004221C8">
                              <w:rPr>
                                <w:sz w:val="14"/>
                                <w:szCs w:val="14"/>
                              </w:rPr>
                              <w:t>Lidah</w:t>
                            </w:r>
                            <w:proofErr w:type="spellEnd"/>
                            <w:r w:rsidRPr="004221C8">
                              <w:rPr>
                                <w:sz w:val="14"/>
                                <w:szCs w:val="14"/>
                              </w:rPr>
                              <w:t xml:space="preserve"> </w:t>
                            </w:r>
                            <w:proofErr w:type="spellStart"/>
                            <w:r w:rsidRPr="004221C8">
                              <w:rPr>
                                <w:sz w:val="14"/>
                                <w:szCs w:val="14"/>
                              </w:rPr>
                              <w:t>Wetan</w:t>
                            </w:r>
                            <w:proofErr w:type="spellEnd"/>
                            <w:r w:rsidRPr="004221C8">
                              <w:rPr>
                                <w:sz w:val="14"/>
                                <w:szCs w:val="14"/>
                              </w:rPr>
                              <w:t xml:space="preserve">, </w:t>
                            </w:r>
                            <w:proofErr w:type="spellStart"/>
                            <w:r w:rsidRPr="004221C8">
                              <w:rPr>
                                <w:sz w:val="14"/>
                                <w:szCs w:val="14"/>
                              </w:rPr>
                              <w:t>Kec</w:t>
                            </w:r>
                            <w:proofErr w:type="spellEnd"/>
                            <w:r w:rsidRPr="004221C8">
                              <w:rPr>
                                <w:sz w:val="14"/>
                                <w:szCs w:val="14"/>
                              </w:rPr>
                              <w:t xml:space="preserve">. </w:t>
                            </w:r>
                            <w:proofErr w:type="spellStart"/>
                            <w:r w:rsidRPr="004221C8">
                              <w:rPr>
                                <w:sz w:val="14"/>
                                <w:szCs w:val="14"/>
                              </w:rPr>
                              <w:t>Lakarsantri</w:t>
                            </w:r>
                            <w:proofErr w:type="spellEnd"/>
                            <w:r w:rsidRPr="004221C8">
                              <w:rPr>
                                <w:sz w:val="14"/>
                                <w:szCs w:val="14"/>
                              </w:rPr>
                              <w:t xml:space="preserve">, Surabaya, </w:t>
                            </w:r>
                            <w:proofErr w:type="spellStart"/>
                            <w:r w:rsidRPr="004221C8">
                              <w:rPr>
                                <w:sz w:val="14"/>
                                <w:szCs w:val="14"/>
                              </w:rPr>
                              <w:t>Jawa</w:t>
                            </w:r>
                            <w:proofErr w:type="spellEnd"/>
                            <w:r w:rsidRPr="004221C8">
                              <w:rPr>
                                <w:sz w:val="14"/>
                                <w:szCs w:val="14"/>
                              </w:rPr>
                              <w:t xml:space="preserve"> Timur 6021</w:t>
                            </w:r>
                          </w:p>
                          <w:p w14:paraId="2C70F466" w14:textId="20641CAC" w:rsidR="006326C5" w:rsidRDefault="006326C5" w:rsidP="00A13B32">
                            <w:pPr>
                              <w:textDirection w:val="btLr"/>
                            </w:pPr>
                          </w:p>
                        </w:txbxContent>
                      </wps:txbx>
                      <wps:bodyPr spcFirstLastPara="1" wrap="square" lIns="91425" tIns="91425" rIns="91425" bIns="91425" anchor="ctr" anchorCtr="0">
                        <a:noAutofit/>
                      </wps:bodyPr>
                    </wps:wsp>
                  </a:graphicData>
                </a:graphic>
              </wp:anchor>
            </w:drawing>
          </mc:Choice>
          <mc:Fallback>
            <w:pict>
              <v:rect w14:anchorId="07B98350" id="Rectangle 1984703689" o:spid="_x0000_s1026" style="position:absolute;left:0;text-align:left;margin-left:-34pt;margin-top:20pt;width:128.9pt;height:184.8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" filled="f" stroked="f">
                <v:textbox inset="2.53958mm,2.53958mm,2.53958mm,2.53958mm">
                  <w:txbxContent>
                    <w:p w14:paraId="6370AE3E" w14:textId="77777777" w:rsidR="006326C5" w:rsidRDefault="00BF261B">
                      <w:pPr>
                        <w:ind w:left="106" w:firstLine="106"/>
                        <w:textDirection w:val="btLr"/>
                      </w:pPr>
                      <w:r>
                        <w:rPr>
                          <w:color w:val="231916"/>
                          <w:sz w:val="14"/>
                        </w:rPr>
                        <w:t>E-ISSN 2338-6770</w:t>
                      </w:r>
                    </w:p>
                    <w:p w14:paraId="74D977E2" w14:textId="77777777" w:rsidR="006326C5" w:rsidRDefault="006326C5">
                      <w:pPr>
                        <w:spacing w:before="11"/>
                        <w:textDirection w:val="btLr"/>
                      </w:pPr>
                    </w:p>
                    <w:p w14:paraId="55D90080" w14:textId="77777777" w:rsidR="006326C5" w:rsidRDefault="00BF261B">
                      <w:pPr>
                        <w:ind w:left="106" w:firstLine="106"/>
                        <w:textDirection w:val="btLr"/>
                      </w:pPr>
                      <w:r>
                        <w:rPr>
                          <w:rFonts w:ascii="FS Me Light" w:eastAsia="FS Me Light" w:hAnsi="FS Me Light" w:cs="FS Me Light"/>
                          <w:color w:val="231916"/>
                          <w:sz w:val="14"/>
                        </w:rPr>
                        <w:t>Tanggal pengajuan : -</w:t>
                      </w:r>
                    </w:p>
                    <w:p w14:paraId="00F521D2" w14:textId="77777777" w:rsidR="006326C5" w:rsidRDefault="00BF261B">
                      <w:pPr>
                        <w:spacing w:before="53"/>
                        <w:ind w:left="106" w:firstLine="106"/>
                        <w:textDirection w:val="btLr"/>
                      </w:pPr>
                      <w:r>
                        <w:rPr>
                          <w:rFonts w:ascii="FS Me Light" w:eastAsia="FS Me Light" w:hAnsi="FS Me Light" w:cs="FS Me Light"/>
                          <w:color w:val="231916"/>
                          <w:sz w:val="14"/>
                        </w:rPr>
                        <w:t>Tanggal revisi : -</w:t>
                      </w:r>
                    </w:p>
                    <w:p w14:paraId="571F174E" w14:textId="77777777" w:rsidR="006326C5" w:rsidRDefault="00BF261B">
                      <w:pPr>
                        <w:spacing w:before="53"/>
                        <w:ind w:left="106" w:firstLine="106"/>
                        <w:textDirection w:val="btLr"/>
                      </w:pPr>
                      <w:r>
                        <w:rPr>
                          <w:rFonts w:ascii="FS Me Light" w:eastAsia="FS Me Light" w:hAnsi="FS Me Light" w:cs="FS Me Light"/>
                          <w:color w:val="231916"/>
                          <w:sz w:val="14"/>
                        </w:rPr>
                        <w:t>Tanggal diterima : -</w:t>
                      </w:r>
                    </w:p>
                    <w:p w14:paraId="5ECDF702" w14:textId="77777777" w:rsidR="006326C5" w:rsidRDefault="006326C5" w:rsidP="00A13B32">
                      <w:pPr>
                        <w:textDirection w:val="btLr"/>
                      </w:pPr>
                    </w:p>
                    <w:p w14:paraId="1E89EDB5" w14:textId="77777777" w:rsidR="006326C5" w:rsidRDefault="00BF261B" w:rsidP="00A13B32">
                      <w:pPr>
                        <w:spacing w:line="316" w:lineRule="auto"/>
                        <w:ind w:left="106" w:right="44" w:firstLine="106"/>
                        <w:textDirection w:val="btLr"/>
                      </w:pPr>
                      <w:r>
                        <w:rPr>
                          <w:rFonts w:ascii="FS Me Light" w:eastAsia="FS Me Light" w:hAnsi="FS Me Light" w:cs="FS Me Light"/>
                          <w:color w:val="231916"/>
                          <w:sz w:val="14"/>
                        </w:rPr>
                        <w:t xml:space="preserve">Alamat Korespondensi: </w:t>
                      </w:r>
                    </w:p>
                    <w:p w14:paraId="3BACC176" w14:textId="77777777" w:rsidR="00A13B32" w:rsidRPr="004221C8" w:rsidRDefault="00A13B32" w:rsidP="00A13B32">
                      <w:pPr>
                        <w:pStyle w:val="NormalWeb"/>
                        <w:spacing w:before="0" w:beforeAutospacing="0"/>
                      </w:pPr>
                      <w:r w:rsidRPr="004221C8">
                        <w:rPr>
                          <w:sz w:val="14"/>
                          <w:szCs w:val="14"/>
                        </w:rPr>
                        <w:t xml:space="preserve">Gedung T.11, </w:t>
                      </w:r>
                      <w:proofErr w:type="spellStart"/>
                      <w:r w:rsidRPr="004221C8">
                        <w:rPr>
                          <w:sz w:val="14"/>
                          <w:szCs w:val="14"/>
                        </w:rPr>
                        <w:t>Fakultas</w:t>
                      </w:r>
                      <w:proofErr w:type="spellEnd"/>
                      <w:r w:rsidRPr="004221C8">
                        <w:rPr>
                          <w:sz w:val="14"/>
                          <w:szCs w:val="14"/>
                        </w:rPr>
                        <w:t xml:space="preserve"> Bahasa dan </w:t>
                      </w:r>
                      <w:proofErr w:type="spellStart"/>
                      <w:r w:rsidRPr="004221C8">
                        <w:rPr>
                          <w:sz w:val="14"/>
                          <w:szCs w:val="14"/>
                        </w:rPr>
                        <w:t>Seni</w:t>
                      </w:r>
                      <w:proofErr w:type="spellEnd"/>
                      <w:r w:rsidRPr="004221C8">
                        <w:rPr>
                          <w:sz w:val="14"/>
                          <w:szCs w:val="14"/>
                        </w:rPr>
                        <w:t xml:space="preserve"> (FBS)</w:t>
                      </w:r>
                      <w:r>
                        <w:rPr>
                          <w:sz w:val="14"/>
                          <w:szCs w:val="14"/>
                        </w:rPr>
                        <w:t>.</w:t>
                      </w:r>
                      <w:r w:rsidRPr="004221C8">
                        <w:t xml:space="preserve"> </w:t>
                      </w:r>
                      <w:proofErr w:type="spellStart"/>
                      <w:r w:rsidRPr="004221C8">
                        <w:rPr>
                          <w:sz w:val="14"/>
                          <w:szCs w:val="14"/>
                        </w:rPr>
                        <w:t>Kampus</w:t>
                      </w:r>
                      <w:proofErr w:type="spellEnd"/>
                      <w:r w:rsidRPr="004221C8">
                        <w:rPr>
                          <w:sz w:val="14"/>
                          <w:szCs w:val="14"/>
                        </w:rPr>
                        <w:t xml:space="preserve"> </w:t>
                      </w:r>
                      <w:proofErr w:type="spellStart"/>
                      <w:r w:rsidRPr="004221C8">
                        <w:rPr>
                          <w:sz w:val="14"/>
                          <w:szCs w:val="14"/>
                        </w:rPr>
                        <w:t>Unesa</w:t>
                      </w:r>
                      <w:proofErr w:type="spellEnd"/>
                      <w:r w:rsidRPr="004221C8">
                        <w:rPr>
                          <w:sz w:val="14"/>
                          <w:szCs w:val="14"/>
                        </w:rPr>
                        <w:t xml:space="preserve"> </w:t>
                      </w:r>
                      <w:proofErr w:type="spellStart"/>
                      <w:r w:rsidRPr="004221C8">
                        <w:rPr>
                          <w:sz w:val="14"/>
                          <w:szCs w:val="14"/>
                        </w:rPr>
                        <w:t>Lidah</w:t>
                      </w:r>
                      <w:proofErr w:type="spellEnd"/>
                      <w:r w:rsidRPr="004221C8">
                        <w:rPr>
                          <w:sz w:val="14"/>
                          <w:szCs w:val="14"/>
                        </w:rPr>
                        <w:t xml:space="preserve"> </w:t>
                      </w:r>
                      <w:proofErr w:type="spellStart"/>
                      <w:r w:rsidRPr="004221C8">
                        <w:rPr>
                          <w:sz w:val="14"/>
                          <w:szCs w:val="14"/>
                        </w:rPr>
                        <w:t>Wetan</w:t>
                      </w:r>
                      <w:proofErr w:type="spellEnd"/>
                      <w:r w:rsidRPr="004221C8">
                        <w:rPr>
                          <w:sz w:val="14"/>
                          <w:szCs w:val="14"/>
                        </w:rPr>
                        <w:t xml:space="preserve">, Jl. </w:t>
                      </w:r>
                      <w:proofErr w:type="spellStart"/>
                      <w:r w:rsidRPr="004221C8">
                        <w:rPr>
                          <w:sz w:val="14"/>
                          <w:szCs w:val="14"/>
                        </w:rPr>
                        <w:t>Rektorat</w:t>
                      </w:r>
                      <w:proofErr w:type="spellEnd"/>
                      <w:r w:rsidRPr="004221C8">
                        <w:rPr>
                          <w:sz w:val="14"/>
                          <w:szCs w:val="14"/>
                        </w:rPr>
                        <w:t xml:space="preserve"> </w:t>
                      </w:r>
                      <w:proofErr w:type="spellStart"/>
                      <w:r w:rsidRPr="004221C8">
                        <w:rPr>
                          <w:sz w:val="14"/>
                          <w:szCs w:val="14"/>
                        </w:rPr>
                        <w:t>Unesa</w:t>
                      </w:r>
                      <w:proofErr w:type="spellEnd"/>
                      <w:r w:rsidRPr="004221C8">
                        <w:rPr>
                          <w:sz w:val="14"/>
                          <w:szCs w:val="14"/>
                        </w:rPr>
                        <w:t xml:space="preserve">, </w:t>
                      </w:r>
                      <w:proofErr w:type="spellStart"/>
                      <w:r w:rsidRPr="004221C8">
                        <w:rPr>
                          <w:sz w:val="14"/>
                          <w:szCs w:val="14"/>
                        </w:rPr>
                        <w:t>Lidah</w:t>
                      </w:r>
                      <w:proofErr w:type="spellEnd"/>
                      <w:r w:rsidRPr="004221C8">
                        <w:rPr>
                          <w:sz w:val="14"/>
                          <w:szCs w:val="14"/>
                        </w:rPr>
                        <w:t xml:space="preserve"> </w:t>
                      </w:r>
                      <w:proofErr w:type="spellStart"/>
                      <w:r w:rsidRPr="004221C8">
                        <w:rPr>
                          <w:sz w:val="14"/>
                          <w:szCs w:val="14"/>
                        </w:rPr>
                        <w:t>Wetan</w:t>
                      </w:r>
                      <w:proofErr w:type="spellEnd"/>
                      <w:r w:rsidRPr="004221C8">
                        <w:rPr>
                          <w:sz w:val="14"/>
                          <w:szCs w:val="14"/>
                        </w:rPr>
                        <w:t xml:space="preserve">, </w:t>
                      </w:r>
                      <w:proofErr w:type="spellStart"/>
                      <w:r w:rsidRPr="004221C8">
                        <w:rPr>
                          <w:sz w:val="14"/>
                          <w:szCs w:val="14"/>
                        </w:rPr>
                        <w:t>Kec</w:t>
                      </w:r>
                      <w:proofErr w:type="spellEnd"/>
                      <w:r w:rsidRPr="004221C8">
                        <w:rPr>
                          <w:sz w:val="14"/>
                          <w:szCs w:val="14"/>
                        </w:rPr>
                        <w:t xml:space="preserve">. </w:t>
                      </w:r>
                      <w:proofErr w:type="spellStart"/>
                      <w:r w:rsidRPr="004221C8">
                        <w:rPr>
                          <w:sz w:val="14"/>
                          <w:szCs w:val="14"/>
                        </w:rPr>
                        <w:t>Lakarsantri</w:t>
                      </w:r>
                      <w:proofErr w:type="spellEnd"/>
                      <w:r w:rsidRPr="004221C8">
                        <w:rPr>
                          <w:sz w:val="14"/>
                          <w:szCs w:val="14"/>
                        </w:rPr>
                        <w:t xml:space="preserve">, Surabaya, </w:t>
                      </w:r>
                      <w:proofErr w:type="spellStart"/>
                      <w:r w:rsidRPr="004221C8">
                        <w:rPr>
                          <w:sz w:val="14"/>
                          <w:szCs w:val="14"/>
                        </w:rPr>
                        <w:t>Jawa</w:t>
                      </w:r>
                      <w:proofErr w:type="spellEnd"/>
                      <w:r w:rsidRPr="004221C8">
                        <w:rPr>
                          <w:sz w:val="14"/>
                          <w:szCs w:val="14"/>
                        </w:rPr>
                        <w:t xml:space="preserve"> Timur 6021</w:t>
                      </w:r>
                    </w:p>
                    <w:p w14:paraId="2C70F466" w14:textId="20641CAC" w:rsidR="006326C5" w:rsidRDefault="006326C5" w:rsidP="00A13B32">
                      <w:pPr>
                        <w:textDirection w:val="btLr"/>
                      </w:pPr>
                    </w:p>
                  </w:txbxContent>
                </v:textbox>
              </v:rect>
            </w:pict>
          </mc:Fallback>
        </mc:AlternateContent>
      </w:r>
      <w:r>
        <w:rPr>
          <w:noProof/>
        </w:rPr>
        <mc:AlternateContent>
          <mc:Choice Requires="wpg">
            <w:drawing>
              <wp:anchor distT="0" distB="0" distL="114300" distR="114300" simplePos="0" relativeHeight="251659264" behindDoc="0" locked="0" layoutInCell="1" hidden="0" allowOverlap="1" wp14:anchorId="5EE63E55" wp14:editId="41F224CF">
                <wp:simplePos x="0" y="0"/>
                <wp:positionH relativeFrom="column">
                  <wp:posOffset>1</wp:posOffset>
                </wp:positionH>
                <wp:positionV relativeFrom="paragraph">
                  <wp:posOffset>101600</wp:posOffset>
                </wp:positionV>
                <wp:extent cx="541272" cy="366109"/>
                <wp:effectExtent l="0" t="0" r="0" b="0"/>
                <wp:wrapNone/>
                <wp:docPr id="1984703690" name="Group 1984703690"/>
                <wp:cNvGraphicFramePr/>
                <a:graphic xmlns:a="http://schemas.openxmlformats.org/drawingml/2006/main">
                  <a:graphicData uri="http://schemas.microsoft.com/office/word/2010/wordprocessingGroup">
                    <wpg:wgp>
                      <wpg:cNvGrpSpPr/>
                      <wpg:grpSpPr>
                        <a:xfrm>
                          <a:off x="0" y="0"/>
                          <a:ext cx="541272" cy="366109"/>
                          <a:chOff x="5075350" y="3596925"/>
                          <a:chExt cx="541300" cy="366150"/>
                        </a:xfrm>
                      </wpg:grpSpPr>
                      <wpg:grpSp>
                        <wpg:cNvPr id="781658799" name="Group 781658799"/>
                        <wpg:cNvGrpSpPr/>
                        <wpg:grpSpPr>
                          <a:xfrm>
                            <a:off x="5075364" y="3596946"/>
                            <a:ext cx="541272" cy="366109"/>
                            <a:chOff x="0" y="0"/>
                            <a:chExt cx="541272" cy="366109"/>
                          </a:xfrm>
                        </wpg:grpSpPr>
                        <wps:wsp>
                          <wps:cNvPr id="1953357694" name="Rectangle 1953357694"/>
                          <wps:cNvSpPr/>
                          <wps:spPr>
                            <a:xfrm>
                              <a:off x="0" y="0"/>
                              <a:ext cx="541250" cy="366100"/>
                            </a:xfrm>
                            <a:prstGeom prst="rect">
                              <a:avLst/>
                            </a:prstGeom>
                            <a:noFill/>
                            <a:ln>
                              <a:noFill/>
                            </a:ln>
                          </wps:spPr>
                          <wps:txbx>
                            <w:txbxContent>
                              <w:p w14:paraId="73E5AC47" w14:textId="77777777" w:rsidR="006326C5" w:rsidRDefault="006326C5">
                                <w:pPr>
                                  <w:textDirection w:val="btLr"/>
                                </w:pPr>
                              </w:p>
                            </w:txbxContent>
                          </wps:txbx>
                          <wps:bodyPr spcFirstLastPara="1" wrap="square" lIns="91425" tIns="91425" rIns="91425" bIns="91425" anchor="ctr" anchorCtr="0">
                            <a:noAutofit/>
                          </wps:bodyPr>
                        </wps:wsp>
                        <pic:pic xmlns:pic="http://schemas.openxmlformats.org/drawingml/2006/picture">
                          <pic:nvPicPr>
                            <pic:cNvPr id="7" name="Shape 7"/>
                            <pic:cNvPicPr preferRelativeResize="0"/>
                          </pic:nvPicPr>
                          <pic:blipFill rotWithShape="1">
                            <a:blip r:embed="rId8">
                              <a:alphaModFix/>
                            </a:blip>
                            <a:srcRect/>
                            <a:stretch/>
                          </pic:blipFill>
                          <pic:spPr>
                            <a:xfrm>
                              <a:off x="358392" y="0"/>
                              <a:ext cx="182880" cy="290195"/>
                            </a:xfrm>
                            <a:prstGeom prst="rect">
                              <a:avLst/>
                            </a:prstGeom>
                            <a:noFill/>
                            <a:ln>
                              <a:noFill/>
                            </a:ln>
                          </pic:spPr>
                        </pic:pic>
                        <pic:pic xmlns:pic="http://schemas.openxmlformats.org/drawingml/2006/picture">
                          <pic:nvPicPr>
                            <pic:cNvPr id="8" name="Shape 8"/>
                            <pic:cNvPicPr preferRelativeResize="0"/>
                          </pic:nvPicPr>
                          <pic:blipFill rotWithShape="1">
                            <a:blip r:embed="rId9">
                              <a:alphaModFix/>
                            </a:blip>
                            <a:srcRect/>
                            <a:stretch/>
                          </pic:blipFill>
                          <pic:spPr>
                            <a:xfrm>
                              <a:off x="0" y="0"/>
                              <a:ext cx="304165" cy="310515"/>
                            </a:xfrm>
                            <a:prstGeom prst="rect">
                              <a:avLst/>
                            </a:prstGeom>
                            <a:noFill/>
                            <a:ln>
                              <a:noFill/>
                            </a:ln>
                          </pic:spPr>
                        </pic:pic>
                        <wps:wsp>
                          <wps:cNvPr id="211666021" name="Freeform: Shape 211666021"/>
                          <wps:cNvSpPr/>
                          <wps:spPr>
                            <a:xfrm>
                              <a:off x="0" y="311499"/>
                              <a:ext cx="321310" cy="54610"/>
                            </a:xfrm>
                            <a:custGeom>
                              <a:avLst/>
                              <a:gdLst/>
                              <a:ahLst/>
                              <a:cxnLst/>
                              <a:rect l="l" t="t" r="r" b="b"/>
                              <a:pathLst>
                                <a:path w="506" h="87" extrusionOk="0">
                                  <a:moveTo>
                                    <a:pt x="65" y="67"/>
                                  </a:moveTo>
                                  <a:lnTo>
                                    <a:pt x="60" y="67"/>
                                  </a:lnTo>
                                  <a:lnTo>
                                    <a:pt x="60" y="75"/>
                                  </a:lnTo>
                                  <a:lnTo>
                                    <a:pt x="53" y="79"/>
                                  </a:lnTo>
                                  <a:lnTo>
                                    <a:pt x="48" y="81"/>
                                  </a:lnTo>
                                  <a:lnTo>
                                    <a:pt x="42" y="81"/>
                                  </a:lnTo>
                                  <a:lnTo>
                                    <a:pt x="30" y="78"/>
                                  </a:lnTo>
                                  <a:lnTo>
                                    <a:pt x="20" y="71"/>
                                  </a:lnTo>
                                  <a:lnTo>
                                    <a:pt x="14" y="60"/>
                                  </a:lnTo>
                                  <a:lnTo>
                                    <a:pt x="11" y="47"/>
                                  </a:lnTo>
                                  <a:lnTo>
                                    <a:pt x="14" y="33"/>
                                  </a:lnTo>
                                  <a:lnTo>
                                    <a:pt x="19" y="23"/>
                                  </a:lnTo>
                                  <a:lnTo>
                                    <a:pt x="29" y="16"/>
                                  </a:lnTo>
                                  <a:lnTo>
                                    <a:pt x="40" y="14"/>
                                  </a:lnTo>
                                  <a:lnTo>
                                    <a:pt x="48" y="14"/>
                                  </a:lnTo>
                                  <a:lnTo>
                                    <a:pt x="53" y="16"/>
                                  </a:lnTo>
                                  <a:lnTo>
                                    <a:pt x="60" y="21"/>
                                  </a:lnTo>
                                  <a:lnTo>
                                    <a:pt x="60" y="26"/>
                                  </a:lnTo>
                                  <a:lnTo>
                                    <a:pt x="65" y="26"/>
                                  </a:lnTo>
                                  <a:lnTo>
                                    <a:pt x="65" y="7"/>
                                  </a:lnTo>
                                  <a:lnTo>
                                    <a:pt x="60" y="7"/>
                                  </a:lnTo>
                                  <a:lnTo>
                                    <a:pt x="60" y="12"/>
                                  </a:lnTo>
                                  <a:lnTo>
                                    <a:pt x="53" y="9"/>
                                  </a:lnTo>
                                  <a:lnTo>
                                    <a:pt x="47" y="8"/>
                                  </a:lnTo>
                                  <a:lnTo>
                                    <a:pt x="40" y="8"/>
                                  </a:lnTo>
                                  <a:lnTo>
                                    <a:pt x="24" y="11"/>
                                  </a:lnTo>
                                  <a:lnTo>
                                    <a:pt x="12" y="19"/>
                                  </a:lnTo>
                                  <a:lnTo>
                                    <a:pt x="3" y="32"/>
                                  </a:lnTo>
                                  <a:lnTo>
                                    <a:pt x="0" y="47"/>
                                  </a:lnTo>
                                  <a:lnTo>
                                    <a:pt x="3" y="63"/>
                                  </a:lnTo>
                                  <a:lnTo>
                                    <a:pt x="12" y="76"/>
                                  </a:lnTo>
                                  <a:lnTo>
                                    <a:pt x="25" y="84"/>
                                  </a:lnTo>
                                  <a:lnTo>
                                    <a:pt x="41" y="87"/>
                                  </a:lnTo>
                                  <a:lnTo>
                                    <a:pt x="49" y="87"/>
                                  </a:lnTo>
                                  <a:lnTo>
                                    <a:pt x="56" y="86"/>
                                  </a:lnTo>
                                  <a:lnTo>
                                    <a:pt x="65" y="82"/>
                                  </a:lnTo>
                                  <a:lnTo>
                                    <a:pt x="65" y="67"/>
                                  </a:lnTo>
                                  <a:close/>
                                  <a:moveTo>
                                    <a:pt x="111" y="36"/>
                                  </a:moveTo>
                                  <a:lnTo>
                                    <a:pt x="107" y="33"/>
                                  </a:lnTo>
                                  <a:lnTo>
                                    <a:pt x="104" y="32"/>
                                  </a:lnTo>
                                  <a:lnTo>
                                    <a:pt x="100" y="32"/>
                                  </a:lnTo>
                                  <a:lnTo>
                                    <a:pt x="97" y="34"/>
                                  </a:lnTo>
                                  <a:lnTo>
                                    <a:pt x="88" y="45"/>
                                  </a:lnTo>
                                  <a:lnTo>
                                    <a:pt x="88" y="32"/>
                                  </a:lnTo>
                                  <a:lnTo>
                                    <a:pt x="86" y="32"/>
                                  </a:lnTo>
                                  <a:lnTo>
                                    <a:pt x="70" y="36"/>
                                  </a:lnTo>
                                  <a:lnTo>
                                    <a:pt x="70" y="39"/>
                                  </a:lnTo>
                                  <a:lnTo>
                                    <a:pt x="80" y="39"/>
                                  </a:lnTo>
                                  <a:lnTo>
                                    <a:pt x="80" y="81"/>
                                  </a:lnTo>
                                  <a:lnTo>
                                    <a:pt x="71" y="81"/>
                                  </a:lnTo>
                                  <a:lnTo>
                                    <a:pt x="71" y="85"/>
                                  </a:lnTo>
                                  <a:lnTo>
                                    <a:pt x="99" y="85"/>
                                  </a:lnTo>
                                  <a:lnTo>
                                    <a:pt x="99" y="81"/>
                                  </a:lnTo>
                                  <a:lnTo>
                                    <a:pt x="88" y="81"/>
                                  </a:lnTo>
                                  <a:lnTo>
                                    <a:pt x="88" y="50"/>
                                  </a:lnTo>
                                  <a:lnTo>
                                    <a:pt x="95" y="43"/>
                                  </a:lnTo>
                                  <a:lnTo>
                                    <a:pt x="97" y="41"/>
                                  </a:lnTo>
                                  <a:lnTo>
                                    <a:pt x="100" y="41"/>
                                  </a:lnTo>
                                  <a:lnTo>
                                    <a:pt x="102" y="42"/>
                                  </a:lnTo>
                                  <a:lnTo>
                                    <a:pt x="104" y="44"/>
                                  </a:lnTo>
                                  <a:lnTo>
                                    <a:pt x="111" y="36"/>
                                  </a:lnTo>
                                  <a:close/>
                                  <a:moveTo>
                                    <a:pt x="162" y="44"/>
                                  </a:moveTo>
                                  <a:lnTo>
                                    <a:pt x="155" y="36"/>
                                  </a:lnTo>
                                  <a:lnTo>
                                    <a:pt x="152" y="33"/>
                                  </a:lnTo>
                                  <a:lnTo>
                                    <a:pt x="152" y="46"/>
                                  </a:lnTo>
                                  <a:lnTo>
                                    <a:pt x="152" y="72"/>
                                  </a:lnTo>
                                  <a:lnTo>
                                    <a:pt x="145" y="82"/>
                                  </a:lnTo>
                                  <a:lnTo>
                                    <a:pt x="128" y="82"/>
                                  </a:lnTo>
                                  <a:lnTo>
                                    <a:pt x="121" y="72"/>
                                  </a:lnTo>
                                  <a:lnTo>
                                    <a:pt x="121" y="46"/>
                                  </a:lnTo>
                                  <a:lnTo>
                                    <a:pt x="128" y="36"/>
                                  </a:lnTo>
                                  <a:lnTo>
                                    <a:pt x="145" y="36"/>
                                  </a:lnTo>
                                  <a:lnTo>
                                    <a:pt x="152" y="46"/>
                                  </a:lnTo>
                                  <a:lnTo>
                                    <a:pt x="152" y="33"/>
                                  </a:lnTo>
                                  <a:lnTo>
                                    <a:pt x="150" y="32"/>
                                  </a:lnTo>
                                  <a:lnTo>
                                    <a:pt x="122" y="32"/>
                                  </a:lnTo>
                                  <a:lnTo>
                                    <a:pt x="111" y="44"/>
                                  </a:lnTo>
                                  <a:lnTo>
                                    <a:pt x="111" y="74"/>
                                  </a:lnTo>
                                  <a:lnTo>
                                    <a:pt x="122" y="87"/>
                                  </a:lnTo>
                                  <a:lnTo>
                                    <a:pt x="150" y="87"/>
                                  </a:lnTo>
                                  <a:lnTo>
                                    <a:pt x="155" y="82"/>
                                  </a:lnTo>
                                  <a:lnTo>
                                    <a:pt x="162" y="74"/>
                                  </a:lnTo>
                                  <a:lnTo>
                                    <a:pt x="162" y="44"/>
                                  </a:lnTo>
                                  <a:close/>
                                  <a:moveTo>
                                    <a:pt x="207" y="64"/>
                                  </a:moveTo>
                                  <a:lnTo>
                                    <a:pt x="203" y="60"/>
                                  </a:lnTo>
                                  <a:lnTo>
                                    <a:pt x="192" y="55"/>
                                  </a:lnTo>
                                  <a:lnTo>
                                    <a:pt x="178" y="50"/>
                                  </a:lnTo>
                                  <a:lnTo>
                                    <a:pt x="177" y="49"/>
                                  </a:lnTo>
                                  <a:lnTo>
                                    <a:pt x="177" y="39"/>
                                  </a:lnTo>
                                  <a:lnTo>
                                    <a:pt x="181" y="36"/>
                                  </a:lnTo>
                                  <a:lnTo>
                                    <a:pt x="193" y="36"/>
                                  </a:lnTo>
                                  <a:lnTo>
                                    <a:pt x="199" y="40"/>
                                  </a:lnTo>
                                  <a:lnTo>
                                    <a:pt x="199" y="44"/>
                                  </a:lnTo>
                                  <a:lnTo>
                                    <a:pt x="198" y="48"/>
                                  </a:lnTo>
                                  <a:lnTo>
                                    <a:pt x="203" y="48"/>
                                  </a:lnTo>
                                  <a:lnTo>
                                    <a:pt x="206" y="31"/>
                                  </a:lnTo>
                                  <a:lnTo>
                                    <a:pt x="201" y="31"/>
                                  </a:lnTo>
                                  <a:lnTo>
                                    <a:pt x="200" y="36"/>
                                  </a:lnTo>
                                  <a:lnTo>
                                    <a:pt x="197" y="33"/>
                                  </a:lnTo>
                                  <a:lnTo>
                                    <a:pt x="193" y="32"/>
                                  </a:lnTo>
                                  <a:lnTo>
                                    <a:pt x="177" y="32"/>
                                  </a:lnTo>
                                  <a:lnTo>
                                    <a:pt x="170" y="38"/>
                                  </a:lnTo>
                                  <a:lnTo>
                                    <a:pt x="170" y="54"/>
                                  </a:lnTo>
                                  <a:lnTo>
                                    <a:pt x="174" y="58"/>
                                  </a:lnTo>
                                  <a:lnTo>
                                    <a:pt x="197" y="67"/>
                                  </a:lnTo>
                                  <a:lnTo>
                                    <a:pt x="200" y="70"/>
                                  </a:lnTo>
                                  <a:lnTo>
                                    <a:pt x="200" y="79"/>
                                  </a:lnTo>
                                  <a:lnTo>
                                    <a:pt x="195" y="82"/>
                                  </a:lnTo>
                                  <a:lnTo>
                                    <a:pt x="182" y="82"/>
                                  </a:lnTo>
                                  <a:lnTo>
                                    <a:pt x="175" y="78"/>
                                  </a:lnTo>
                                  <a:lnTo>
                                    <a:pt x="175" y="70"/>
                                  </a:lnTo>
                                  <a:lnTo>
                                    <a:pt x="170" y="70"/>
                                  </a:lnTo>
                                  <a:lnTo>
                                    <a:pt x="170" y="86"/>
                                  </a:lnTo>
                                  <a:lnTo>
                                    <a:pt x="175" y="86"/>
                                  </a:lnTo>
                                  <a:lnTo>
                                    <a:pt x="175" y="82"/>
                                  </a:lnTo>
                                  <a:lnTo>
                                    <a:pt x="178" y="85"/>
                                  </a:lnTo>
                                  <a:lnTo>
                                    <a:pt x="183" y="87"/>
                                  </a:lnTo>
                                  <a:lnTo>
                                    <a:pt x="189" y="87"/>
                                  </a:lnTo>
                                  <a:lnTo>
                                    <a:pt x="200" y="87"/>
                                  </a:lnTo>
                                  <a:lnTo>
                                    <a:pt x="207" y="80"/>
                                  </a:lnTo>
                                  <a:lnTo>
                                    <a:pt x="207" y="64"/>
                                  </a:lnTo>
                                  <a:close/>
                                  <a:moveTo>
                                    <a:pt x="253" y="64"/>
                                  </a:moveTo>
                                  <a:lnTo>
                                    <a:pt x="250" y="60"/>
                                  </a:lnTo>
                                  <a:lnTo>
                                    <a:pt x="239" y="55"/>
                                  </a:lnTo>
                                  <a:lnTo>
                                    <a:pt x="225" y="50"/>
                                  </a:lnTo>
                                  <a:lnTo>
                                    <a:pt x="224" y="49"/>
                                  </a:lnTo>
                                  <a:lnTo>
                                    <a:pt x="224" y="39"/>
                                  </a:lnTo>
                                  <a:lnTo>
                                    <a:pt x="228" y="36"/>
                                  </a:lnTo>
                                  <a:lnTo>
                                    <a:pt x="240" y="36"/>
                                  </a:lnTo>
                                  <a:lnTo>
                                    <a:pt x="245" y="40"/>
                                  </a:lnTo>
                                  <a:lnTo>
                                    <a:pt x="245" y="44"/>
                                  </a:lnTo>
                                  <a:lnTo>
                                    <a:pt x="244" y="48"/>
                                  </a:lnTo>
                                  <a:lnTo>
                                    <a:pt x="249" y="48"/>
                                  </a:lnTo>
                                  <a:lnTo>
                                    <a:pt x="252" y="31"/>
                                  </a:lnTo>
                                  <a:lnTo>
                                    <a:pt x="247" y="31"/>
                                  </a:lnTo>
                                  <a:lnTo>
                                    <a:pt x="247" y="36"/>
                                  </a:lnTo>
                                  <a:lnTo>
                                    <a:pt x="243" y="33"/>
                                  </a:lnTo>
                                  <a:lnTo>
                                    <a:pt x="239" y="32"/>
                                  </a:lnTo>
                                  <a:lnTo>
                                    <a:pt x="224" y="32"/>
                                  </a:lnTo>
                                  <a:lnTo>
                                    <a:pt x="216" y="38"/>
                                  </a:lnTo>
                                  <a:lnTo>
                                    <a:pt x="216" y="54"/>
                                  </a:lnTo>
                                  <a:lnTo>
                                    <a:pt x="220" y="58"/>
                                  </a:lnTo>
                                  <a:lnTo>
                                    <a:pt x="244" y="67"/>
                                  </a:lnTo>
                                  <a:lnTo>
                                    <a:pt x="247" y="70"/>
                                  </a:lnTo>
                                  <a:lnTo>
                                    <a:pt x="247" y="79"/>
                                  </a:lnTo>
                                  <a:lnTo>
                                    <a:pt x="242" y="82"/>
                                  </a:lnTo>
                                  <a:lnTo>
                                    <a:pt x="229" y="82"/>
                                  </a:lnTo>
                                  <a:lnTo>
                                    <a:pt x="222" y="78"/>
                                  </a:lnTo>
                                  <a:lnTo>
                                    <a:pt x="222" y="70"/>
                                  </a:lnTo>
                                  <a:lnTo>
                                    <a:pt x="217" y="70"/>
                                  </a:lnTo>
                                  <a:lnTo>
                                    <a:pt x="217" y="86"/>
                                  </a:lnTo>
                                  <a:lnTo>
                                    <a:pt x="221" y="86"/>
                                  </a:lnTo>
                                  <a:lnTo>
                                    <a:pt x="221" y="82"/>
                                  </a:lnTo>
                                  <a:lnTo>
                                    <a:pt x="225" y="85"/>
                                  </a:lnTo>
                                  <a:lnTo>
                                    <a:pt x="230" y="87"/>
                                  </a:lnTo>
                                  <a:lnTo>
                                    <a:pt x="236" y="87"/>
                                  </a:lnTo>
                                  <a:lnTo>
                                    <a:pt x="246" y="87"/>
                                  </a:lnTo>
                                  <a:lnTo>
                                    <a:pt x="253" y="80"/>
                                  </a:lnTo>
                                  <a:lnTo>
                                    <a:pt x="253" y="64"/>
                                  </a:lnTo>
                                  <a:close/>
                                  <a:moveTo>
                                    <a:pt x="353" y="9"/>
                                  </a:moveTo>
                                  <a:lnTo>
                                    <a:pt x="334" y="9"/>
                                  </a:lnTo>
                                  <a:lnTo>
                                    <a:pt x="307" y="68"/>
                                  </a:lnTo>
                                  <a:lnTo>
                                    <a:pt x="281" y="9"/>
                                  </a:lnTo>
                                  <a:lnTo>
                                    <a:pt x="263" y="9"/>
                                  </a:lnTo>
                                  <a:lnTo>
                                    <a:pt x="263" y="13"/>
                                  </a:lnTo>
                                  <a:lnTo>
                                    <a:pt x="271" y="13"/>
                                  </a:lnTo>
                                  <a:lnTo>
                                    <a:pt x="271" y="81"/>
                                  </a:lnTo>
                                  <a:lnTo>
                                    <a:pt x="263" y="81"/>
                                  </a:lnTo>
                                  <a:lnTo>
                                    <a:pt x="263" y="85"/>
                                  </a:lnTo>
                                  <a:lnTo>
                                    <a:pt x="286" y="85"/>
                                  </a:lnTo>
                                  <a:lnTo>
                                    <a:pt x="286" y="81"/>
                                  </a:lnTo>
                                  <a:lnTo>
                                    <a:pt x="277" y="81"/>
                                  </a:lnTo>
                                  <a:lnTo>
                                    <a:pt x="277" y="23"/>
                                  </a:lnTo>
                                  <a:lnTo>
                                    <a:pt x="305" y="86"/>
                                  </a:lnTo>
                                  <a:lnTo>
                                    <a:pt x="334" y="24"/>
                                  </a:lnTo>
                                  <a:lnTo>
                                    <a:pt x="334" y="81"/>
                                  </a:lnTo>
                                  <a:lnTo>
                                    <a:pt x="325" y="81"/>
                                  </a:lnTo>
                                  <a:lnTo>
                                    <a:pt x="325" y="85"/>
                                  </a:lnTo>
                                  <a:lnTo>
                                    <a:pt x="353" y="85"/>
                                  </a:lnTo>
                                  <a:lnTo>
                                    <a:pt x="353" y="81"/>
                                  </a:lnTo>
                                  <a:lnTo>
                                    <a:pt x="344" y="81"/>
                                  </a:lnTo>
                                  <a:lnTo>
                                    <a:pt x="344" y="13"/>
                                  </a:lnTo>
                                  <a:lnTo>
                                    <a:pt x="353" y="13"/>
                                  </a:lnTo>
                                  <a:lnTo>
                                    <a:pt x="353" y="9"/>
                                  </a:lnTo>
                                  <a:close/>
                                  <a:moveTo>
                                    <a:pt x="405" y="80"/>
                                  </a:moveTo>
                                  <a:lnTo>
                                    <a:pt x="396" y="80"/>
                                  </a:lnTo>
                                  <a:lnTo>
                                    <a:pt x="396" y="78"/>
                                  </a:lnTo>
                                  <a:lnTo>
                                    <a:pt x="396" y="62"/>
                                  </a:lnTo>
                                  <a:lnTo>
                                    <a:pt x="396" y="37"/>
                                  </a:lnTo>
                                  <a:lnTo>
                                    <a:pt x="395" y="36"/>
                                  </a:lnTo>
                                  <a:lnTo>
                                    <a:pt x="389" y="32"/>
                                  </a:lnTo>
                                  <a:lnTo>
                                    <a:pt x="369" y="32"/>
                                  </a:lnTo>
                                  <a:lnTo>
                                    <a:pt x="361" y="37"/>
                                  </a:lnTo>
                                  <a:lnTo>
                                    <a:pt x="361" y="44"/>
                                  </a:lnTo>
                                  <a:lnTo>
                                    <a:pt x="362" y="46"/>
                                  </a:lnTo>
                                  <a:lnTo>
                                    <a:pt x="372" y="44"/>
                                  </a:lnTo>
                                  <a:lnTo>
                                    <a:pt x="372" y="38"/>
                                  </a:lnTo>
                                  <a:lnTo>
                                    <a:pt x="376" y="36"/>
                                  </a:lnTo>
                                  <a:lnTo>
                                    <a:pt x="377" y="36"/>
                                  </a:lnTo>
                                  <a:lnTo>
                                    <a:pt x="384" y="36"/>
                                  </a:lnTo>
                                  <a:lnTo>
                                    <a:pt x="388" y="39"/>
                                  </a:lnTo>
                                  <a:lnTo>
                                    <a:pt x="388" y="57"/>
                                  </a:lnTo>
                                  <a:lnTo>
                                    <a:pt x="388" y="62"/>
                                  </a:lnTo>
                                  <a:lnTo>
                                    <a:pt x="388" y="74"/>
                                  </a:lnTo>
                                  <a:lnTo>
                                    <a:pt x="382" y="78"/>
                                  </a:lnTo>
                                  <a:lnTo>
                                    <a:pt x="379" y="80"/>
                                  </a:lnTo>
                                  <a:lnTo>
                                    <a:pt x="371" y="80"/>
                                  </a:lnTo>
                                  <a:lnTo>
                                    <a:pt x="368" y="77"/>
                                  </a:lnTo>
                                  <a:lnTo>
                                    <a:pt x="368" y="66"/>
                                  </a:lnTo>
                                  <a:lnTo>
                                    <a:pt x="388" y="62"/>
                                  </a:lnTo>
                                  <a:lnTo>
                                    <a:pt x="388" y="57"/>
                                  </a:lnTo>
                                  <a:lnTo>
                                    <a:pt x="362" y="63"/>
                                  </a:lnTo>
                                  <a:lnTo>
                                    <a:pt x="358" y="68"/>
                                  </a:lnTo>
                                  <a:lnTo>
                                    <a:pt x="358" y="81"/>
                                  </a:lnTo>
                                  <a:lnTo>
                                    <a:pt x="364" y="87"/>
                                  </a:lnTo>
                                  <a:lnTo>
                                    <a:pt x="378" y="87"/>
                                  </a:lnTo>
                                  <a:lnTo>
                                    <a:pt x="383" y="84"/>
                                  </a:lnTo>
                                  <a:lnTo>
                                    <a:pt x="386" y="80"/>
                                  </a:lnTo>
                                  <a:lnTo>
                                    <a:pt x="388" y="78"/>
                                  </a:lnTo>
                                  <a:lnTo>
                                    <a:pt x="388" y="84"/>
                                  </a:lnTo>
                                  <a:lnTo>
                                    <a:pt x="390" y="86"/>
                                  </a:lnTo>
                                  <a:lnTo>
                                    <a:pt x="393" y="86"/>
                                  </a:lnTo>
                                  <a:lnTo>
                                    <a:pt x="397" y="86"/>
                                  </a:lnTo>
                                  <a:lnTo>
                                    <a:pt x="405" y="83"/>
                                  </a:lnTo>
                                  <a:lnTo>
                                    <a:pt x="405" y="80"/>
                                  </a:lnTo>
                                  <a:close/>
                                  <a:moveTo>
                                    <a:pt x="449" y="36"/>
                                  </a:moveTo>
                                  <a:lnTo>
                                    <a:pt x="446" y="33"/>
                                  </a:lnTo>
                                  <a:lnTo>
                                    <a:pt x="443" y="32"/>
                                  </a:lnTo>
                                  <a:lnTo>
                                    <a:pt x="438" y="32"/>
                                  </a:lnTo>
                                  <a:lnTo>
                                    <a:pt x="435" y="34"/>
                                  </a:lnTo>
                                  <a:lnTo>
                                    <a:pt x="427" y="45"/>
                                  </a:lnTo>
                                  <a:lnTo>
                                    <a:pt x="427" y="32"/>
                                  </a:lnTo>
                                  <a:lnTo>
                                    <a:pt x="425" y="32"/>
                                  </a:lnTo>
                                  <a:lnTo>
                                    <a:pt x="408" y="36"/>
                                  </a:lnTo>
                                  <a:lnTo>
                                    <a:pt x="408" y="39"/>
                                  </a:lnTo>
                                  <a:lnTo>
                                    <a:pt x="419" y="39"/>
                                  </a:lnTo>
                                  <a:lnTo>
                                    <a:pt x="419" y="81"/>
                                  </a:lnTo>
                                  <a:lnTo>
                                    <a:pt x="410" y="81"/>
                                  </a:lnTo>
                                  <a:lnTo>
                                    <a:pt x="410" y="85"/>
                                  </a:lnTo>
                                  <a:lnTo>
                                    <a:pt x="438" y="85"/>
                                  </a:lnTo>
                                  <a:lnTo>
                                    <a:pt x="438" y="81"/>
                                  </a:lnTo>
                                  <a:lnTo>
                                    <a:pt x="427" y="81"/>
                                  </a:lnTo>
                                  <a:lnTo>
                                    <a:pt x="427" y="50"/>
                                  </a:lnTo>
                                  <a:lnTo>
                                    <a:pt x="433" y="43"/>
                                  </a:lnTo>
                                  <a:lnTo>
                                    <a:pt x="436" y="41"/>
                                  </a:lnTo>
                                  <a:lnTo>
                                    <a:pt x="439" y="41"/>
                                  </a:lnTo>
                                  <a:lnTo>
                                    <a:pt x="440" y="42"/>
                                  </a:lnTo>
                                  <a:lnTo>
                                    <a:pt x="443" y="44"/>
                                  </a:lnTo>
                                  <a:lnTo>
                                    <a:pt x="449" y="36"/>
                                  </a:lnTo>
                                  <a:close/>
                                  <a:moveTo>
                                    <a:pt x="475" y="81"/>
                                  </a:moveTo>
                                  <a:lnTo>
                                    <a:pt x="466" y="81"/>
                                  </a:lnTo>
                                  <a:lnTo>
                                    <a:pt x="466" y="0"/>
                                  </a:lnTo>
                                  <a:lnTo>
                                    <a:pt x="464" y="0"/>
                                  </a:lnTo>
                                  <a:lnTo>
                                    <a:pt x="447" y="5"/>
                                  </a:lnTo>
                                  <a:lnTo>
                                    <a:pt x="447" y="8"/>
                                  </a:lnTo>
                                  <a:lnTo>
                                    <a:pt x="458" y="8"/>
                                  </a:lnTo>
                                  <a:lnTo>
                                    <a:pt x="458" y="81"/>
                                  </a:lnTo>
                                  <a:lnTo>
                                    <a:pt x="449" y="81"/>
                                  </a:lnTo>
                                  <a:lnTo>
                                    <a:pt x="449" y="85"/>
                                  </a:lnTo>
                                  <a:lnTo>
                                    <a:pt x="475" y="85"/>
                                  </a:lnTo>
                                  <a:lnTo>
                                    <a:pt x="475" y="81"/>
                                  </a:lnTo>
                                  <a:close/>
                                  <a:moveTo>
                                    <a:pt x="505" y="81"/>
                                  </a:moveTo>
                                  <a:lnTo>
                                    <a:pt x="499" y="81"/>
                                  </a:lnTo>
                                  <a:lnTo>
                                    <a:pt x="476" y="54"/>
                                  </a:lnTo>
                                  <a:lnTo>
                                    <a:pt x="494" y="37"/>
                                  </a:lnTo>
                                  <a:lnTo>
                                    <a:pt x="503" y="37"/>
                                  </a:lnTo>
                                  <a:lnTo>
                                    <a:pt x="503" y="33"/>
                                  </a:lnTo>
                                  <a:lnTo>
                                    <a:pt x="480" y="33"/>
                                  </a:lnTo>
                                  <a:lnTo>
                                    <a:pt x="480" y="37"/>
                                  </a:lnTo>
                                  <a:lnTo>
                                    <a:pt x="488" y="37"/>
                                  </a:lnTo>
                                  <a:lnTo>
                                    <a:pt x="467" y="57"/>
                                  </a:lnTo>
                                  <a:lnTo>
                                    <a:pt x="491" y="85"/>
                                  </a:lnTo>
                                  <a:lnTo>
                                    <a:pt x="505" y="85"/>
                                  </a:lnTo>
                                  <a:lnTo>
                                    <a:pt x="505" y="81"/>
                                  </a:lnTo>
                                  <a:close/>
                                </a:path>
                              </a:pathLst>
                            </a:custGeom>
                            <a:solidFill>
                              <a:srgbClr val="000000"/>
                            </a:solidFill>
                            <a:ln>
                              <a:noFill/>
                            </a:ln>
                          </wps:spPr>
                          <wps:bodyPr spcFirstLastPara="1" wrap="square" lIns="91425" tIns="91425" rIns="91425" bIns="91425" anchor="ctr" anchorCtr="0">
                            <a:noAutofit/>
                          </wps:bodyPr>
                        </wps:wsp>
                      </wpg:grpSp>
                    </wpg:wgp>
                  </a:graphicData>
                </a:graphic>
              </wp:anchor>
            </w:drawing>
          </mc:Choice>
          <mc:Fallback>
            <w:pict>
              <v:group w14:anchorId="5EE63E55" id="Group 1984703690" o:spid="_x0000_s1027" style="position:absolute;left:0;text-align:left;margin-left:0;margin-top:8pt;width:42.6pt;height:28.85pt;z-index:251659264" coordorigin="50753,35969" coordsize="5413,3661"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CgAAAAAAAAAhANSM/S5gCQAAYAkAABQAAABkcnMvbWVkaWEvaW1hZ2Uy&#13;&#10;LmpwZ//Y/+AAEEpGSUYAAQEBAGAAYAAA/9sAQwADAgIDAgIDAwMDBAMDBAUIBQUEBAUKBwcGCAwK&#13;&#10;DAwLCgsLDQ4SEA0OEQ4LCxAWEBETFBUVFQwPFxgWFBgSFBUU/9sAQwEDBAQFBAUJBQUJFA0LDRQU&#13;&#10;FBQUFBQUFBQUFBQUFBQUFBQUFBQUFBQUFBQUFBQUFBQUFBQUFBQUFBQUFBQUFBQU/8AAEQgARABC&#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">
                <v:group id="Group 781658799" o:spid="_x0000_s1028" style="position:absolute;left:50753;top:35969;width:5413;height:3661" coordsize="5412,36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">
                  <v:rect id="Rectangle 1953357694" o:spid="_x0000_s1029" style="position:absolute;width:5412;height:366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" filled="f" stroked="f">
                    <v:textbox inset="2.53958mm,2.53958mm,2.53958mm,2.53958mm">
                      <w:txbxContent>
                        <w:p w14:paraId="73E5AC47" w14:textId="77777777" w:rsidR="006326C5" w:rsidRDefault="006326C5">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7" o:spid="_x0000_s1030" type="#_x0000_t75" style="position:absolute;left:3583;width:1829;height:2901;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">
                    <v:imagedata r:id="rId10" o:title=""/>
                  </v:shape>
                  <v:shape id="Shape 8" o:spid="_x0000_s1031" type="#_x0000_t75" style="position:absolute;width:3041;height:3105;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">
                    <v:imagedata r:id="rId11" o:title=""/>
                  </v:shape>
                  <v:shape id="Freeform: Shape 211666021" o:spid="_x0000_s1032" style="position:absolute;top:3114;width:3213;height:547;visibility:visible;mso-wrap-style:square;v-text-anchor:middle" coordsize="506,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" path="m65,67r-5,l60,75r-7,4l48,81r-6,l30,78,20,71,14,60,11,47,14,33,19,23,29,16,40,14r8,l53,16r7,5l60,26r5,l65,7r-5,l60,12,53,9,47,8r-7,l24,11,12,19,3,32,,47,3,63r9,13l25,84r16,3l49,87r7,-1l65,82r,-15xm111,36r-4,-3l104,32r-4,l97,34,88,45r,-13l86,32,70,36r,3l80,39r,42l71,81r,4l99,85r,-4l88,81r,-31l95,43r2,-2l100,41r2,1l104,44r7,-8xm162,44r-7,-8l152,33r,13l152,72r-7,10l128,82,121,72r,-26l128,36r17,l152,46r,-13l150,32r-28,l111,44r,30l122,87r28,l155,82r7,-8l162,44xm207,64r-4,-4l192,55,178,50r-1,-1l177,39r4,-3l193,36r6,4l199,44r-1,4l203,48r3,-17l201,31r-1,5l197,33r-4,-1l177,32r-7,6l170,54r4,4l197,67r3,3l200,79r-5,3l182,82r-7,-4l175,70r-5,l170,86r5,l175,82r3,3l183,87r6,l200,87r7,-7l207,64xm253,64r-3,-4l239,55,225,50r-1,-1l224,39r4,-3l240,36r5,4l245,44r-1,4l249,48r3,-17l247,31r,5l243,33r-4,-1l224,32r-8,6l216,54r4,4l244,67r3,3l247,79r-5,3l229,82r-7,-4l222,70r-5,l217,86r4,l221,82r4,3l230,87r6,l246,87r7,-7l253,64xm353,9r-19,l307,68,281,9r-18,l263,13r8,l271,81r-8,l263,85r23,l286,81r-9,l277,23r28,63l334,24r,57l325,81r,4l353,85r,-4l344,81r,-68l353,13r,-4xm405,80r-9,l396,78r,-16l396,37r-1,-1l389,32r-20,l361,37r,7l362,46r10,-2l372,38r4,-2l377,36r7,l388,39r,18l388,62r,12l382,78r-3,2l371,80r-3,-3l368,66r20,-4l388,57r-26,6l358,68r,13l364,87r14,l383,84r3,-4l388,78r,6l390,86r3,l397,86r8,-3l405,80xm449,36r-3,-3l443,32r-5,l435,34r-8,11l427,32r-2,l408,36r,3l419,39r,42l410,81r,4l438,85r,-4l427,81r,-31l433,43r3,-2l439,41r1,1l443,44r6,-8xm475,81r-9,l466,r-2,l447,5r,3l458,8r,73l449,81r,4l475,85r,-4xm505,81r-6,l476,54,494,37r9,l503,33r-23,l480,37r8,l467,57r24,28l505,85r,-4xe" fillcolor="black" stroked="f">
                    <v:path arrowok="t" o:extrusionok="f"/>
                  </v:shape>
                </v:group>
              </v:group>
            </w:pict>
          </mc:Fallback>
        </mc:AlternateContent>
      </w:r>
    </w:p>
    <w:p w14:paraId="3B9B869C" w14:textId="54F7301F" w:rsidR="006326C5" w:rsidRPr="00A13B32" w:rsidRDefault="009968A7">
      <w:pPr>
        <w:widowControl w:val="0"/>
        <w:pBdr>
          <w:top w:val="nil"/>
          <w:left w:val="nil"/>
          <w:bottom w:val="nil"/>
          <w:right w:val="nil"/>
          <w:between w:val="nil"/>
        </w:pBdr>
        <w:spacing w:line="239" w:lineRule="auto"/>
        <w:ind w:left="2268" w:right="49"/>
        <w:rPr>
          <w:rFonts w:ascii="Century Gothic" w:eastAsia="Century Gothic" w:hAnsi="Century Gothic" w:cs="Century Gothic"/>
          <w:color w:val="000000"/>
          <w:sz w:val="18"/>
          <w:szCs w:val="18"/>
          <w:vertAlign w:val="superscript"/>
        </w:rPr>
      </w:pPr>
      <w:proofErr w:type="spellStart"/>
      <w:r w:rsidRPr="009968A7">
        <w:rPr>
          <w:rFonts w:ascii="Century Gothic" w:eastAsia="Century Gothic" w:hAnsi="Century Gothic" w:cs="Century Gothic"/>
          <w:sz w:val="18"/>
          <w:szCs w:val="18"/>
        </w:rPr>
        <w:t>K</w:t>
      </w:r>
      <w:r w:rsidR="00A13B32">
        <w:rPr>
          <w:rFonts w:ascii="Century Gothic" w:eastAsia="Century Gothic" w:hAnsi="Century Gothic" w:cs="Century Gothic"/>
          <w:sz w:val="18"/>
          <w:szCs w:val="18"/>
        </w:rPr>
        <w:t>heisya</w:t>
      </w:r>
      <w:proofErr w:type="spellEnd"/>
      <w:r w:rsidR="00A13B32">
        <w:rPr>
          <w:rFonts w:ascii="Century Gothic" w:eastAsia="Century Gothic" w:hAnsi="Century Gothic" w:cs="Century Gothic"/>
          <w:sz w:val="18"/>
          <w:szCs w:val="18"/>
        </w:rPr>
        <w:t xml:space="preserve"> Gita Kristyara</w:t>
      </w:r>
      <w:r w:rsidR="00A13B32">
        <w:rPr>
          <w:rFonts w:ascii="Century Gothic" w:eastAsia="Century Gothic" w:hAnsi="Century Gothic" w:cs="Century Gothic"/>
          <w:sz w:val="18"/>
          <w:szCs w:val="18"/>
          <w:vertAlign w:val="superscript"/>
        </w:rPr>
        <w:t>1</w:t>
      </w:r>
      <w:r w:rsidRPr="009968A7">
        <w:rPr>
          <w:rFonts w:ascii="Century Gothic" w:eastAsia="Century Gothic" w:hAnsi="Century Gothic" w:cs="Century Gothic"/>
          <w:sz w:val="18"/>
          <w:szCs w:val="18"/>
        </w:rPr>
        <w:t xml:space="preserve">, </w:t>
      </w:r>
      <w:proofErr w:type="spellStart"/>
      <w:r w:rsidR="00A13B32">
        <w:rPr>
          <w:rFonts w:ascii="Century Gothic" w:eastAsia="Century Gothic" w:hAnsi="Century Gothic" w:cs="Century Gothic"/>
          <w:sz w:val="18"/>
          <w:szCs w:val="18"/>
        </w:rPr>
        <w:t>Senyum</w:t>
      </w:r>
      <w:proofErr w:type="spellEnd"/>
      <w:r w:rsidR="00A13B32">
        <w:rPr>
          <w:rFonts w:ascii="Century Gothic" w:eastAsia="Century Gothic" w:hAnsi="Century Gothic" w:cs="Century Gothic"/>
          <w:sz w:val="18"/>
          <w:szCs w:val="18"/>
        </w:rPr>
        <w:t xml:space="preserve"> Sadhana</w:t>
      </w:r>
      <w:r w:rsidR="00A13B32">
        <w:rPr>
          <w:rFonts w:ascii="Century Gothic" w:eastAsia="Century Gothic" w:hAnsi="Century Gothic" w:cs="Century Gothic"/>
          <w:sz w:val="18"/>
          <w:szCs w:val="18"/>
          <w:vertAlign w:val="superscript"/>
        </w:rPr>
        <w:t>2</w:t>
      </w:r>
    </w:p>
    <w:p w14:paraId="5887F2C6" w14:textId="77777777" w:rsidR="006326C5" w:rsidRDefault="00BF261B">
      <w:pPr>
        <w:widowControl w:val="0"/>
        <w:pBdr>
          <w:top w:val="nil"/>
          <w:left w:val="nil"/>
          <w:bottom w:val="nil"/>
          <w:right w:val="nil"/>
          <w:between w:val="nil"/>
        </w:pBdr>
        <w:spacing w:line="239" w:lineRule="auto"/>
        <w:ind w:left="2268" w:right="49"/>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vertAlign w:val="superscript"/>
        </w:rPr>
        <w:t>1State University of Surabaya, Surabaya, Indonesia</w:t>
      </w:r>
    </w:p>
    <w:p w14:paraId="7279898B" w14:textId="77777777" w:rsidR="006326C5" w:rsidRDefault="00BF261B">
      <w:pPr>
        <w:widowControl w:val="0"/>
        <w:pBdr>
          <w:top w:val="nil"/>
          <w:left w:val="nil"/>
          <w:bottom w:val="nil"/>
          <w:right w:val="nil"/>
          <w:between w:val="nil"/>
        </w:pBdr>
        <w:spacing w:line="239" w:lineRule="auto"/>
        <w:ind w:left="2268" w:right="49"/>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vertAlign w:val="superscript"/>
        </w:rPr>
        <w:t>2Unesa University, Surabaya, Indonesia</w:t>
      </w:r>
    </w:p>
    <w:p w14:paraId="3B9E7DC0" w14:textId="5A4A2108" w:rsidR="006326C5" w:rsidRDefault="00BF261B">
      <w:pPr>
        <w:widowControl w:val="0"/>
        <w:pBdr>
          <w:top w:val="nil"/>
          <w:left w:val="nil"/>
          <w:bottom w:val="nil"/>
          <w:right w:val="nil"/>
          <w:between w:val="nil"/>
        </w:pBdr>
        <w:spacing w:line="239" w:lineRule="auto"/>
        <w:ind w:left="2268" w:right="49"/>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Email: </w:t>
      </w:r>
      <w:hyperlink r:id="rId12" w:history="1">
        <w:r w:rsidR="00A13B32" w:rsidRPr="006C2341">
          <w:rPr>
            <w:rStyle w:val="Hyperlink"/>
            <w:rFonts w:ascii="Century Gothic" w:eastAsia="Century Gothic" w:hAnsi="Century Gothic" w:cs="Century Gothic"/>
            <w:position w:val="0"/>
            <w:sz w:val="18"/>
            <w:szCs w:val="18"/>
          </w:rPr>
          <w:t>kheigit07@gmail.com</w:t>
        </w:r>
      </w:hyperlink>
      <w:r w:rsidR="00A13B32">
        <w:rPr>
          <w:rFonts w:ascii="Century Gothic" w:eastAsia="Century Gothic" w:hAnsi="Century Gothic" w:cs="Century Gothic"/>
          <w:sz w:val="18"/>
          <w:szCs w:val="18"/>
        </w:rPr>
        <w:t>, senyumsadhana@unesa.ac.id</w:t>
      </w:r>
    </w:p>
    <w:p w14:paraId="4A4B0A16" w14:textId="77777777" w:rsidR="006326C5" w:rsidRDefault="006326C5">
      <w:pPr>
        <w:widowControl w:val="0"/>
        <w:pBdr>
          <w:top w:val="nil"/>
          <w:left w:val="nil"/>
          <w:bottom w:val="nil"/>
          <w:right w:val="nil"/>
          <w:between w:val="nil"/>
        </w:pBdr>
        <w:spacing w:line="239" w:lineRule="auto"/>
        <w:ind w:left="2268" w:right="49"/>
        <w:jc w:val="center"/>
        <w:rPr>
          <w:rFonts w:ascii="Century Gothic" w:eastAsia="Century Gothic" w:hAnsi="Century Gothic" w:cs="Century Gothic"/>
          <w:color w:val="000000"/>
          <w:sz w:val="18"/>
          <w:szCs w:val="18"/>
        </w:rPr>
      </w:pPr>
    </w:p>
    <w:p w14:paraId="1496D473" w14:textId="77777777" w:rsidR="009968A7" w:rsidRDefault="00BF261B" w:rsidP="009968A7">
      <w:pPr>
        <w:pBdr>
          <w:top w:val="nil"/>
          <w:left w:val="nil"/>
          <w:bottom w:val="nil"/>
          <w:right w:val="nil"/>
          <w:between w:val="nil"/>
        </w:pBdr>
        <w:ind w:left="2268"/>
        <w:jc w:val="both"/>
        <w:rPr>
          <w:rFonts w:ascii="Century Gothic" w:eastAsia="Century Gothic" w:hAnsi="Century Gothic" w:cs="Century Gothic"/>
        </w:rPr>
      </w:pPr>
      <w:r>
        <w:rPr>
          <w:rFonts w:ascii="Century Gothic" w:eastAsia="Century Gothic" w:hAnsi="Century Gothic" w:cs="Century Gothic"/>
          <w:b/>
          <w:bCs/>
          <w:color w:val="000000"/>
          <w:sz w:val="18"/>
          <w:szCs w:val="18"/>
        </w:rPr>
        <w:t xml:space="preserve">Abstract: </w:t>
      </w:r>
      <w:r w:rsidR="009968A7" w:rsidRPr="009968A7">
        <w:rPr>
          <w:rFonts w:ascii="Century Gothic" w:eastAsia="Century Gothic" w:hAnsi="Century Gothic" w:cs="Century Gothic"/>
        </w:rPr>
        <w:t>This study aims to analyze the implementation of vocal technique learning in the 9th grade vocal group material at SMPN 1 Purwodadi. The study used a descriptive qualitative approach with data collection through participant observation, semi-structured interviews, and documentation studies of teachers and 12 students. Data were analyzed interactively including reduction, presentation, and drawing conclusions, with data validity tested through triangulation. The results show that the learning plan has integrated the principles of vocal health and material differentiation according to the phases of voice development. The implementation of exercises gradually improves breathing control, articulation, and group harmonization, although still hampered by the dynamics of adolescent voice mutation. Adaptation strategies such as temporary vocal range adjustments, humming techniques, and vocal anatomy education have proven effective in minimizing physiological tension and maintaining student motivation. Formative evaluation is carried out systematically, but its effectiveness is still limited by time allocation, acoustics of the practice room, and the need to improve teacher competency. Implications, vocal education in junior high schools must place voice safety and psychological readiness of adolescents as the main foundation before the aesthetic orientation of the performance. This study recommends strengthening adolescent vocal pedagogy training for teachers, collaboration with vocal practitioners, and the use of digital archives for continuous monitoring of student development.</w:t>
      </w:r>
    </w:p>
    <w:p w14:paraId="7314D2E6" w14:textId="26F4B37F" w:rsidR="009968A7" w:rsidRDefault="009968A7" w:rsidP="009968A7">
      <w:pPr>
        <w:pBdr>
          <w:top w:val="nil"/>
          <w:left w:val="nil"/>
          <w:bottom w:val="nil"/>
          <w:right w:val="nil"/>
          <w:between w:val="nil"/>
        </w:pBdr>
        <w:ind w:left="2268"/>
        <w:jc w:val="both"/>
        <w:rPr>
          <w:rFonts w:ascii="Century Gothic" w:eastAsia="Century Gothic" w:hAnsi="Century Gothic" w:cs="Century Gothic"/>
        </w:rPr>
      </w:pPr>
      <w:r w:rsidRPr="009968A7">
        <w:rPr>
          <w:rFonts w:ascii="Century Gothic" w:eastAsia="Century Gothic" w:hAnsi="Century Gothic" w:cs="Century Gothic"/>
        </w:rPr>
        <w:t xml:space="preserve"> </w:t>
      </w:r>
    </w:p>
    <w:p w14:paraId="02FBE65C" w14:textId="68274321" w:rsidR="006326C5" w:rsidRDefault="00BF261B" w:rsidP="009968A7">
      <w:pPr>
        <w:pBdr>
          <w:top w:val="nil"/>
          <w:left w:val="nil"/>
          <w:bottom w:val="nil"/>
          <w:right w:val="nil"/>
          <w:between w:val="nil"/>
        </w:pBdr>
        <w:ind w:left="2268"/>
        <w:jc w:val="both"/>
        <w:rPr>
          <w:rFonts w:ascii="Century Gothic" w:eastAsia="Century Gothic" w:hAnsi="Century Gothic" w:cs="Century Gothic"/>
          <w:sz w:val="18"/>
          <w:szCs w:val="18"/>
        </w:rPr>
      </w:pPr>
      <w:r>
        <w:rPr>
          <w:rFonts w:ascii="Century Gothic" w:eastAsia="Century Gothic" w:hAnsi="Century Gothic" w:cs="Century Gothic"/>
          <w:b/>
          <w:bCs/>
          <w:color w:val="000000"/>
          <w:sz w:val="18"/>
          <w:szCs w:val="18"/>
        </w:rPr>
        <w:t xml:space="preserve">Keywords: </w:t>
      </w:r>
      <w:r w:rsidR="009968A7" w:rsidRPr="009968A7">
        <w:rPr>
          <w:rFonts w:ascii="Century Gothic" w:eastAsia="Century Gothic" w:hAnsi="Century Gothic" w:cs="Century Gothic"/>
          <w:sz w:val="18"/>
          <w:szCs w:val="18"/>
        </w:rPr>
        <w:t>Vocal Technique Learning, Vocal Group, Voice Mutation, Music Arts Pedagogy, Vocal Health.</w:t>
      </w:r>
    </w:p>
    <w:p w14:paraId="71781441" w14:textId="58346CA3" w:rsidR="006326C5" w:rsidRDefault="00BF261B" w:rsidP="009968A7">
      <w:pPr>
        <w:widowControl w:val="0"/>
        <w:pBdr>
          <w:top w:val="nil"/>
          <w:left w:val="nil"/>
          <w:bottom w:val="nil"/>
          <w:right w:val="nil"/>
          <w:between w:val="nil"/>
        </w:pBdr>
        <w:jc w:val="both"/>
        <w:rPr>
          <w:rFonts w:ascii="Century Gothic" w:eastAsia="Century Gothic" w:hAnsi="Century Gothic" w:cs="Century Gothic"/>
          <w:i/>
          <w:iCs/>
          <w:sz w:val="18"/>
          <w:szCs w:val="18"/>
        </w:rPr>
      </w:pPr>
      <w:r>
        <w:rPr>
          <w:rFonts w:ascii="Century Gothic" w:eastAsia="Century Gothic" w:hAnsi="Century Gothic" w:cs="Century Gothic"/>
          <w:i/>
          <w:iCs/>
          <w:sz w:val="18"/>
          <w:szCs w:val="18"/>
        </w:rPr>
        <w:t>.</w:t>
      </w:r>
    </w:p>
    <w:p w14:paraId="26ADFFA5" w14:textId="77777777" w:rsidR="006326C5" w:rsidRDefault="006326C5">
      <w:pPr>
        <w:widowControl w:val="0"/>
        <w:pBdr>
          <w:top w:val="nil"/>
          <w:left w:val="nil"/>
          <w:bottom w:val="nil"/>
          <w:right w:val="nil"/>
          <w:between w:val="nil"/>
        </w:pBdr>
        <w:ind w:left="2268"/>
        <w:jc w:val="both"/>
        <w:rPr>
          <w:rFonts w:ascii="Century Gothic" w:eastAsia="Century Gothic" w:hAnsi="Century Gothic" w:cs="Century Gothic"/>
          <w:color w:val="000000"/>
          <w:sz w:val="22"/>
          <w:szCs w:val="22"/>
        </w:rPr>
        <w:sectPr w:rsidR="006326C5">
          <w:headerReference w:type="even" r:id="rId13"/>
          <w:headerReference w:type="default" r:id="rId14"/>
          <w:footerReference w:type="even" r:id="rId15"/>
          <w:footerReference w:type="default" r:id="rId16"/>
          <w:headerReference w:type="first" r:id="rId17"/>
          <w:footerReference w:type="first" r:id="rId18"/>
          <w:pgSz w:w="11907" w:h="16840"/>
          <w:pgMar w:top="1440" w:right="1440" w:bottom="1440" w:left="1440" w:header="567" w:footer="720" w:gutter="0"/>
          <w:pgNumType w:start="1"/>
          <w:cols w:space="720"/>
          <w:titlePg/>
        </w:sectPr>
      </w:pPr>
    </w:p>
    <w:p w14:paraId="7C35247F" w14:textId="77777777" w:rsidR="006326C5" w:rsidRDefault="00BF261B">
      <w:pPr>
        <w:pStyle w:val="Heading1"/>
        <w:ind w:left="0" w:hanging="2"/>
        <w:rPr>
          <w:rFonts w:ascii="Century Gothic" w:eastAsia="Century Gothic" w:hAnsi="Century Gothic" w:cs="Century Gothic"/>
        </w:rPr>
      </w:pPr>
      <w:r>
        <w:rPr>
          <w:rFonts w:ascii="Century Gothic" w:eastAsia="Century Gothic" w:hAnsi="Century Gothic" w:cs="Century Gothic"/>
          <w:sz w:val="20"/>
          <w:szCs w:val="20"/>
        </w:rPr>
        <w:t>1. INTRODUCTION</w:t>
      </w:r>
    </w:p>
    <w:p w14:paraId="19DED591" w14:textId="77777777" w:rsidR="001D37AE" w:rsidRPr="001D37AE" w:rsidRDefault="009968A7" w:rsidP="001D37AE">
      <w:pPr>
        <w:pBdr>
          <w:top w:val="nil"/>
          <w:left w:val="nil"/>
          <w:bottom w:val="nil"/>
          <w:right w:val="nil"/>
          <w:between w:val="nil"/>
        </w:pBdr>
        <w:ind w:left="2268" w:firstLine="566"/>
        <w:jc w:val="both"/>
        <w:rPr>
          <w:rFonts w:ascii="Century Gothic" w:eastAsia="Times New Roman" w:hAnsi="Century Gothic" w:cs="Times New Roman"/>
          <w:color w:val="000000"/>
          <w:kern w:val="2"/>
          <w:lang w:eastAsia="id-ID"/>
          <w14:ligatures w14:val="standardContextual"/>
        </w:rPr>
      </w:pPr>
      <w:r w:rsidRPr="009968A7">
        <w:rPr>
          <w:rFonts w:ascii="Century Gothic" w:eastAsia="Century Gothic" w:hAnsi="Century Gothic" w:cs="Century Gothic"/>
        </w:rPr>
        <w:t xml:space="preserve">Music arts education, particularly vocal training, plays a strategic role in developing the holistic potential of students at the junior high school (SMP) level. Between the ages of 13 and 15, ninth-grade students experience significant physiological and psychological changes, including a period of voice mutation that requires guidance on appropriate vocal techniques to avoid vocal cord tension or a decrease in confidence in musical expression (Kasihani &amp; Prasetyo, 2021). Vocal lessons at the junior high level are not only oriented towards achieving technical skills but also serve as a medium for character development, teamwork, and emotional regulation through structured singing activities (Prasetya &amp; Dewi, 2019). Within the Merdeka Curriculum framework, vocal group or class choir material is one of the collaborative, contextual, and student-centered arts activities. This activity allows students to apply the principles of vocal technique in an integrated manner, from diaphragmatic breathing, </w:t>
      </w:r>
      <w:r>
        <w:rPr>
          <w:rFonts w:ascii="Century Gothic" w:eastAsia="Century Gothic" w:hAnsi="Century Gothic" w:cs="Century Gothic"/>
        </w:rPr>
        <w:lastRenderedPageBreak/>
        <w:t>spatial resonance, consonant-vowel articulation, to maintaining intonation in multipart harmony (Widiastuti &amp; Nugroho, 2022). However, the implementation of vocal technique learning in group settings at school often faces multidimensional obstacles, such as limited face-to-face time, limited supporting instruments (such as pianos or tuners), and teachers' lack of understanding of vocal pedagogical approaches that are adaptive to adolescent voice characteristics (Setiawan &amp; Rahayu, 2023). Furthermore, the focus on preparation for competitions or final performances often neglects the process of building a safe and sustainable technical foundation (Lestari &amp; Haryanto, 2020). In practice, many schools still implement vocal exercises intuitively without a clear diagnostic framework for students' posture, breath control, and voice placement. Yet, mastery of these basic techniques is crucial for the quality of vocal production, vocal endurance, and students' ability to harmonize with the group (Fitriani et al., 2024). At SMPN 1 Purwodadi, vocal group activities have been running regularly both as part of the curriculum and as an extracurricular option. However, how vocal technique learning strategies are planned, adapted to the voice mutation phase, formatively evaluated, and how pedagogical and technical obstacles are overcome has not been documented or systematically studied. The gap between curriculum expectations that emphasize meaningful learning and partial field practice encourages the need for an in-depth study of the vocal technique learning process in the context of a 9th-grade vocal group. Based on this explanation, this study aims to analyze the implementation of vocal technique learning in vocal group material in 9th-grade SMPN 1 Purwodadi, including planning, implementation, evaluation, and challenges faced by teachers and students. This mapping of the learning process is expected to be a practical reference for music educators in designing vocal strategies that are safe, effective, and in line with adolescent voice development. Next, the research method section will describe the design, participants, instruments, and data collection and analysis techniques used to answer these objectives.</w:t>
      </w:r>
      <w:r w:rsidR="00923F43" w:rsidRPr="00923F43">
        <w:rPr>
          <w:rFonts w:ascii="Times New Roman" w:eastAsia="Times New Roman" w:hAnsi="Times New Roman" w:cs="Times New Roman"/>
          <w:color w:val="000000"/>
          <w:kern w:val="2"/>
          <w:sz w:val="24"/>
          <w:szCs w:val="24"/>
          <w:lang w:eastAsia="id-ID"/>
          <w14:ligatures w14:val="standardContextual"/>
        </w:rPr>
        <w:t xml:space="preserve"> </w:t>
      </w:r>
      <w:r w:rsidR="001D37AE" w:rsidRPr="001D37AE">
        <w:rPr>
          <w:rFonts w:ascii="Century Gothic" w:eastAsia="Times New Roman" w:hAnsi="Century Gothic" w:cs="Times New Roman"/>
          <w:color w:val="000000"/>
          <w:kern w:val="2"/>
          <w:lang w:eastAsia="id-ID"/>
          <w14:ligatures w14:val="standardContextual"/>
        </w:rPr>
        <w:t>In practice, many schools still implement vocal training intuitively without a clear diagnostic framework for students' posture, breath control, and voice placement. Yet, mastery of these basic techniques significantly determines the quality of vocal production, vocal endurance, and students' ability to harmonize with the group (Fitriani et al., 2024). At SMPN 1 Purwodadi, vocal group activities have been running regularly, both as part of the curriculum and as an extracurricular option. Based on initial observations and information from subject teachers, there are indications that students still experience difficulties in applying basic vocal techniques during group practice. Some identified challenges include inefficient breath control, inappropriate resonance placement, difficulty harmonizing dynamics in harmony sections, and a lack of measured and sustainable vocal training variations.</w:t>
      </w:r>
    </w:p>
    <w:p w14:paraId="27DA5052" w14:textId="77777777" w:rsidR="00455E7B" w:rsidRPr="00455E7B" w:rsidRDefault="001D37AE" w:rsidP="00455E7B">
      <w:pPr>
        <w:pBdr>
          <w:top w:val="nil"/>
          <w:left w:val="nil"/>
          <w:bottom w:val="nil"/>
          <w:right w:val="nil"/>
          <w:between w:val="nil"/>
        </w:pBdr>
        <w:ind w:left="2268" w:firstLine="566"/>
        <w:jc w:val="both"/>
        <w:rPr>
          <w:rFonts w:ascii="Century Gothic" w:eastAsia="Times New Roman" w:hAnsi="Century Gothic" w:cs="Times New Roman"/>
          <w:color w:val="000000"/>
          <w:kern w:val="2"/>
          <w:lang w:eastAsia="id-ID"/>
          <w14:ligatures w14:val="standardContextual"/>
        </w:rPr>
      </w:pPr>
      <w:r w:rsidRPr="001D37AE">
        <w:rPr>
          <w:rFonts w:ascii="Century Gothic" w:eastAsia="Times New Roman" w:hAnsi="Century Gothic" w:cs="Times New Roman"/>
          <w:color w:val="000000"/>
          <w:kern w:val="2"/>
          <w:lang w:eastAsia="id-ID"/>
          <w14:ligatures w14:val="standardContextual"/>
        </w:rPr>
        <w:t xml:space="preserve">This situation is exacerbated by limited learning time allocation and the lack of documented vocal technique learning strategies contextual to the characteristics of students at the school. However, how vocal technique learning strategies are planned, adapted to the voice mutation phase, evaluated formatively, and how pedagogical and technical obstacles are overcome, has not been documented or systematically studied. The gap between curriculum expectations that emphasize meaningful learning and the still partial field practice </w:t>
      </w:r>
      <w:r w:rsidRPr="001D37AE">
        <w:rPr>
          <w:rFonts w:ascii="Century Gothic" w:eastAsia="Times New Roman" w:hAnsi="Century Gothic" w:cs="Times New Roman"/>
          <w:color w:val="000000"/>
          <w:kern w:val="2"/>
          <w:lang w:eastAsia="id-ID"/>
          <w14:ligatures w14:val="standardContextual"/>
        </w:rPr>
        <w:lastRenderedPageBreak/>
        <w:t xml:space="preserve">encourages the need for an in-depth study of the vocal technique learning process in the context of a 9th-grade vocal group. </w:t>
      </w:r>
      <w:r>
        <w:rPr>
          <w:rFonts w:ascii="Century Gothic" w:eastAsia="Times New Roman" w:hAnsi="Century Gothic" w:cs="Times New Roman"/>
          <w:color w:val="000000"/>
          <w:kern w:val="2"/>
          <w:lang w:eastAsia="id-ID"/>
          <w14:ligatures w14:val="standardContextual"/>
        </w:rPr>
        <w:t xml:space="preserve">Semi-structured interviews were used to explore the pedagogical reflections of music art teachers as well as the experiences, technical obstacles, and psychological responses of 9th-grade students to group vocal practice, with reference to the Kvale and Brinkmann (2015) framework that views qualitative interviews as co-constructive dialogues to uncover the meaning of learning experiences. Furthermore, a document analysis of the teaching modules was conducted to explore the alignment between learning planning and implementation in the field, particularly in terms of vocal practice stages, time allocation, harmony achievement indicators, and learning differentiation for students experiencing voice mutations, as mandated in the guidelines for developing teaching materials for the Independent Curriculum </w:t>
      </w:r>
      <w:r w:rsidRPr="001D37AE">
        <w:rPr>
          <w:rFonts w:ascii="Century Gothic" w:eastAsia="Times New Roman" w:hAnsi="Century Gothic" w:cs="Times New Roman"/>
          <w:color w:val="000000"/>
          <w:kern w:val="2"/>
          <w:lang w:val="en-US" w:eastAsia="id-ID"/>
          <w14:ligatures w14:val="standardContextual"/>
        </w:rPr>
        <w:t xml:space="preserve">( </w:t>
      </w:r>
      <w:r w:rsidRPr="001D37AE">
        <w:rPr>
          <w:rFonts w:ascii="Century Gothic" w:eastAsia="Times New Roman" w:hAnsi="Century Gothic" w:cs="Times New Roman"/>
          <w:color w:val="000000"/>
          <w:kern w:val="2"/>
          <w:lang w:eastAsia="id-ID"/>
          <w14:ligatures w14:val="standardContextual"/>
        </w:rPr>
        <w:t xml:space="preserve">Kemendikbudristek, 2022). Through triangulation of these three data sources, this study is expected to produce a comprehensive description and empirically based recommendations that can strengthen the quality of vocal technique learning in the context of </w:t>
      </w:r>
      <w:r w:rsidRPr="001D37AE">
        <w:rPr>
          <w:rFonts w:ascii="Century Gothic" w:eastAsia="Times New Roman" w:hAnsi="Century Gothic" w:cs="Times New Roman"/>
          <w:i/>
          <w:iCs/>
          <w:color w:val="000000"/>
          <w:kern w:val="2"/>
          <w:lang w:eastAsia="id-ID"/>
          <w14:ligatures w14:val="standardContextual"/>
        </w:rPr>
        <w:t xml:space="preserve">vocal groups </w:t>
      </w:r>
      <w:r w:rsidRPr="001D37AE">
        <w:rPr>
          <w:rFonts w:ascii="Century Gothic" w:eastAsia="Times New Roman" w:hAnsi="Century Gothic" w:cs="Times New Roman"/>
          <w:color w:val="000000"/>
          <w:kern w:val="2"/>
          <w:lang w:eastAsia="id-ID"/>
          <w14:ligatures w14:val="standardContextual"/>
        </w:rPr>
        <w:t>at the junior high school level.</w:t>
      </w:r>
      <w:r w:rsidRPr="001D37AE">
        <w:rPr>
          <w:rFonts w:ascii="Century Gothic" w:eastAsia="Times New Roman" w:hAnsi="Century Gothic" w:cs="Times New Roman"/>
          <w:color w:val="000000"/>
          <w:kern w:val="2"/>
          <w:lang w:val="en-US" w:eastAsia="id-ID"/>
          <w14:ligatures w14:val="standardContextual"/>
        </w:rPr>
        <w:t xml:space="preserve"> </w:t>
      </w:r>
      <w:r w:rsidR="00455E7B" w:rsidRPr="00455E7B">
        <w:rPr>
          <w:rFonts w:ascii="Century Gothic" w:eastAsia="Times New Roman" w:hAnsi="Century Gothic" w:cs="Times New Roman"/>
          <w:color w:val="000000"/>
          <w:kern w:val="2"/>
          <w:lang w:eastAsia="id-ID"/>
          <w14:ligatures w14:val="standardContextual"/>
        </w:rPr>
        <w:t xml:space="preserve">Between the ages of 13 and 15, ninth-grade students generally experience a phase of voice mutation characterized by thickening of the vocal folds, a reduction in frequency range, and register instability. These changes are physiological but significantly impact confidence, active participation, and intonation accuracy in group singing contexts. Research shows that improper management of voice mutation, such as forcing students to sing at extreme registers or ignoring physical complaints, can trigger maladaptive compensatory phonation patterns that persist into adulthood (Kasihani &amp; Prasetyo, 2021). Therefore, adolescent vocal pedagogy requires a differentiated approach that accommodates </w:t>
      </w:r>
      <w:r w:rsidR="00455E7B" w:rsidRPr="00455E7B">
        <w:rPr>
          <w:rFonts w:ascii="Century Gothic" w:eastAsia="Times New Roman" w:hAnsi="Century Gothic" w:cs="Times New Roman"/>
          <w:i/>
          <w:iCs/>
          <w:color w:val="000000"/>
          <w:kern w:val="2"/>
          <w:lang w:eastAsia="id-ID"/>
          <w14:ligatures w14:val="standardContextual"/>
        </w:rPr>
        <w:t xml:space="preserve">temporary vocal range </w:t>
      </w:r>
      <w:r w:rsidR="00455E7B" w:rsidRPr="00455E7B">
        <w:rPr>
          <w:rFonts w:ascii="Century Gothic" w:eastAsia="Times New Roman" w:hAnsi="Century Gothic" w:cs="Times New Roman"/>
          <w:color w:val="000000"/>
          <w:kern w:val="2"/>
          <w:lang w:eastAsia="id-ID"/>
          <w14:ligatures w14:val="standardContextual"/>
        </w:rPr>
        <w:t xml:space="preserve">, shifts focus to safe </w:t>
      </w:r>
      <w:r w:rsidR="00455E7B" w:rsidRPr="00455E7B">
        <w:rPr>
          <w:rFonts w:ascii="Century Gothic" w:eastAsia="Times New Roman" w:hAnsi="Century Gothic" w:cs="Times New Roman"/>
          <w:i/>
          <w:iCs/>
          <w:color w:val="000000"/>
          <w:kern w:val="2"/>
          <w:lang w:eastAsia="id-ID"/>
          <w14:ligatures w14:val="standardContextual"/>
        </w:rPr>
        <w:t xml:space="preserve">head voice </w:t>
      </w:r>
      <w:r w:rsidR="00455E7B" w:rsidRPr="00455E7B">
        <w:rPr>
          <w:rFonts w:ascii="Century Gothic" w:eastAsia="Times New Roman" w:hAnsi="Century Gothic" w:cs="Times New Roman"/>
          <w:color w:val="000000"/>
          <w:kern w:val="2"/>
          <w:lang w:eastAsia="id-ID"/>
          <w14:ligatures w14:val="standardContextual"/>
        </w:rPr>
        <w:t xml:space="preserve">and </w:t>
      </w:r>
      <w:r w:rsidR="00455E7B" w:rsidRPr="00455E7B">
        <w:rPr>
          <w:rFonts w:ascii="Century Gothic" w:eastAsia="Times New Roman" w:hAnsi="Century Gothic" w:cs="Times New Roman"/>
          <w:i/>
          <w:iCs/>
          <w:color w:val="000000"/>
          <w:kern w:val="2"/>
          <w:lang w:eastAsia="id-ID"/>
          <w14:ligatures w14:val="standardContextual"/>
        </w:rPr>
        <w:t xml:space="preserve">humming techniques </w:t>
      </w:r>
      <w:r w:rsidR="00455E7B" w:rsidRPr="00455E7B">
        <w:rPr>
          <w:rFonts w:ascii="Century Gothic" w:eastAsia="Times New Roman" w:hAnsi="Century Gothic" w:cs="Times New Roman"/>
          <w:color w:val="000000"/>
          <w:kern w:val="2"/>
          <w:lang w:eastAsia="id-ID"/>
          <w14:ligatures w14:val="standardContextual"/>
        </w:rPr>
        <w:t xml:space="preserve">, and avoids stress on the unstable chest register. Integrating simple anatomical literacy into learning materials has also been shown to effectively reduce psychological anxiety, as students understand that voice cracking or hoarseness is a natural and temporary biological process (Welch, 2021). Therefore, pedagogical adaptation to voice mutation is not simply a technical strategy, but rather an empathetic response that maintains students' continued musical participation. Vocal group or choir learning in secondary schools serves not only as a platform for technical skills training but also as a collaborative ecosystem that demands auditory synchronization, dynamic adjustment, and </w:t>
      </w:r>
      <w:r w:rsidR="00455E7B" w:rsidRPr="00455E7B">
        <w:rPr>
          <w:rFonts w:ascii="Century Gothic" w:eastAsia="Times New Roman" w:hAnsi="Century Gothic" w:cs="Times New Roman"/>
          <w:i/>
          <w:iCs/>
          <w:color w:val="000000"/>
          <w:kern w:val="2"/>
          <w:lang w:eastAsia="id-ID"/>
          <w14:ligatures w14:val="standardContextual"/>
        </w:rPr>
        <w:t xml:space="preserve">active listening. In the context of multipart </w:t>
      </w:r>
      <w:r w:rsidR="00455E7B" w:rsidRPr="00455E7B">
        <w:rPr>
          <w:rFonts w:ascii="Century Gothic" w:eastAsia="Times New Roman" w:hAnsi="Century Gothic" w:cs="Times New Roman"/>
          <w:color w:val="000000"/>
          <w:kern w:val="2"/>
          <w:lang w:eastAsia="id-ID"/>
          <w14:ligatures w14:val="standardContextual"/>
        </w:rPr>
        <w:t xml:space="preserve">harmonization , students are trained to balance </w:t>
      </w:r>
      <w:r w:rsidR="00455E7B" w:rsidRPr="00455E7B">
        <w:rPr>
          <w:rFonts w:ascii="Century Gothic" w:eastAsia="Times New Roman" w:hAnsi="Century Gothic" w:cs="Times New Roman"/>
          <w:i/>
          <w:iCs/>
          <w:color w:val="000000"/>
          <w:kern w:val="2"/>
          <w:lang w:eastAsia="id-ID"/>
          <w14:ligatures w14:val="standardContextual"/>
        </w:rPr>
        <w:t xml:space="preserve">the blend </w:t>
      </w:r>
      <w:r w:rsidR="00455E7B" w:rsidRPr="00455E7B">
        <w:rPr>
          <w:rFonts w:ascii="Century Gothic" w:eastAsia="Times New Roman" w:hAnsi="Century Gothic" w:cs="Times New Roman"/>
          <w:color w:val="000000"/>
          <w:kern w:val="2"/>
          <w:lang w:eastAsia="id-ID"/>
          <w14:ligatures w14:val="standardContextual"/>
        </w:rPr>
        <w:t xml:space="preserve">and </w:t>
      </w:r>
      <w:r w:rsidR="00455E7B" w:rsidRPr="00455E7B">
        <w:rPr>
          <w:rFonts w:ascii="Century Gothic" w:eastAsia="Times New Roman" w:hAnsi="Century Gothic" w:cs="Times New Roman"/>
          <w:i/>
          <w:iCs/>
          <w:color w:val="000000"/>
          <w:kern w:val="2"/>
          <w:lang w:eastAsia="id-ID"/>
          <w14:ligatures w14:val="standardContextual"/>
        </w:rPr>
        <w:t xml:space="preserve">balance </w:t>
      </w:r>
      <w:r w:rsidR="00455E7B" w:rsidRPr="00455E7B">
        <w:rPr>
          <w:rFonts w:ascii="Century Gothic" w:eastAsia="Times New Roman" w:hAnsi="Century Gothic" w:cs="Times New Roman"/>
          <w:color w:val="000000"/>
          <w:kern w:val="2"/>
          <w:lang w:eastAsia="id-ID"/>
          <w14:ligatures w14:val="standardContextual"/>
        </w:rPr>
        <w:t xml:space="preserve">between voice parts, which indirectly develops social sensitivity, emotional regulation, and group adaptability. Music education literature emphasizes that the experience of singing together creates a constructive space where vocal knowledge is built participatory through reciprocal interaction, peer feedback, and collective responsibility for the quality of the group's sound (Jorgensen &amp; Hourigan, 2018). This dynamic is increasingly relevant in the post-pandemic context, where group vocal activities serve as a medium for restoring social connectivity and strengthening students' collective identity (Fitriani, Saputra, &amp; Yuniar, 2024). Therefore, the success of </w:t>
      </w:r>
      <w:r w:rsidR="00455E7B" w:rsidRPr="00455E7B">
        <w:rPr>
          <w:rFonts w:ascii="Century Gothic" w:eastAsia="Times New Roman" w:hAnsi="Century Gothic" w:cs="Times New Roman"/>
          <w:i/>
          <w:iCs/>
          <w:color w:val="000000"/>
          <w:kern w:val="2"/>
          <w:lang w:eastAsia="id-ID"/>
          <w14:ligatures w14:val="standardContextual"/>
        </w:rPr>
        <w:t xml:space="preserve">vocal group learning </w:t>
      </w:r>
      <w:r w:rsidR="00455E7B" w:rsidRPr="00455E7B">
        <w:rPr>
          <w:rFonts w:ascii="Century Gothic" w:eastAsia="Times New Roman" w:hAnsi="Century Gothic" w:cs="Times New Roman"/>
          <w:color w:val="000000"/>
          <w:kern w:val="2"/>
          <w:lang w:eastAsia="id-ID"/>
          <w14:ligatures w14:val="standardContextual"/>
        </w:rPr>
        <w:t xml:space="preserve">is not measured solely by pitch accuracy, but by the extent to which students are able to internalize the values of cooperation, auditory empathy, and </w:t>
      </w:r>
      <w:r w:rsidR="00455E7B" w:rsidRPr="00455E7B">
        <w:rPr>
          <w:rFonts w:ascii="Century Gothic" w:eastAsia="Times New Roman" w:hAnsi="Century Gothic" w:cs="Times New Roman"/>
          <w:color w:val="000000"/>
          <w:kern w:val="2"/>
          <w:lang w:eastAsia="id-ID"/>
          <w14:ligatures w14:val="standardContextual"/>
        </w:rPr>
        <w:lastRenderedPageBreak/>
        <w:t xml:space="preserve">independence in aligning themselves with harmonic structures. Implementing vocal technique learning requires a pedagogical framework that centers on the process, not just the end product. Formative evaluation in this context serves as an ongoing diagnostic tool that maps the development of breath control, articulation clarity, intonation accuracy, and student contributions to group balance. The use of observation rubrics, practice recordings, and reflective journals allows teachers to provide specific, timely, and measurable feedback, allowing students to make technical adjustments in </w:t>
      </w:r>
      <w:r w:rsidR="00455E7B" w:rsidRPr="00455E7B">
        <w:rPr>
          <w:rFonts w:ascii="Century Gothic" w:eastAsia="Times New Roman" w:hAnsi="Century Gothic" w:cs="Times New Roman"/>
          <w:i/>
          <w:iCs/>
          <w:color w:val="000000"/>
          <w:kern w:val="2"/>
          <w:lang w:eastAsia="id-ID"/>
          <w14:ligatures w14:val="standardContextual"/>
        </w:rPr>
        <w:t xml:space="preserve">real time </w:t>
      </w:r>
      <w:r w:rsidR="00455E7B" w:rsidRPr="00455E7B">
        <w:rPr>
          <w:rFonts w:ascii="Century Gothic" w:eastAsia="Times New Roman" w:hAnsi="Century Gothic" w:cs="Times New Roman"/>
          <w:color w:val="000000"/>
          <w:kern w:val="2"/>
          <w:lang w:eastAsia="id-ID"/>
          <w14:ligatures w14:val="standardContextual"/>
        </w:rPr>
        <w:t xml:space="preserve">(Setiawan &amp; Rahayu, 2023). This approach aligns with the principle </w:t>
      </w:r>
      <w:r w:rsidR="00455E7B" w:rsidRPr="00455E7B">
        <w:rPr>
          <w:rFonts w:ascii="Century Gothic" w:eastAsia="Times New Roman" w:hAnsi="Century Gothic" w:cs="Times New Roman"/>
          <w:i/>
          <w:iCs/>
          <w:color w:val="000000"/>
          <w:kern w:val="2"/>
          <w:lang w:eastAsia="id-ID"/>
          <w14:ligatures w14:val="standardContextual"/>
        </w:rPr>
        <w:t xml:space="preserve">of assessment for learning </w:t>
      </w:r>
      <w:r w:rsidR="00455E7B" w:rsidRPr="00455E7B">
        <w:rPr>
          <w:rFonts w:ascii="Century Gothic" w:eastAsia="Times New Roman" w:hAnsi="Century Gothic" w:cs="Times New Roman"/>
          <w:color w:val="000000"/>
          <w:kern w:val="2"/>
          <w:lang w:eastAsia="id-ID"/>
          <w14:ligatures w14:val="standardContextual"/>
        </w:rPr>
        <w:t xml:space="preserve">in arts education, which positions assessment as an integral part of the learning process, not as a final judgment instrument (Prasetya &amp; Dewi, 2019). When evaluation is designed in a participatory and transparent manner, students are more likely to develop musical metacognition, namely the ability to independently monitor, evaluate, and regulate their vocal production. Thus, integrating formative assessment into group vocal practice not only improves technical accuracy but also strengthens students' </w:t>
      </w:r>
      <w:r w:rsidR="00455E7B" w:rsidRPr="00455E7B">
        <w:rPr>
          <w:rFonts w:ascii="Century Gothic" w:eastAsia="Times New Roman" w:hAnsi="Century Gothic" w:cs="Times New Roman"/>
          <w:i/>
          <w:iCs/>
          <w:color w:val="000000"/>
          <w:kern w:val="2"/>
          <w:lang w:eastAsia="id-ID"/>
          <w14:ligatures w14:val="standardContextual"/>
        </w:rPr>
        <w:t xml:space="preserve">agency </w:t>
      </w:r>
      <w:r w:rsidR="00455E7B" w:rsidRPr="00455E7B">
        <w:rPr>
          <w:rFonts w:ascii="Century Gothic" w:eastAsia="Times New Roman" w:hAnsi="Century Gothic" w:cs="Times New Roman"/>
          <w:color w:val="000000"/>
          <w:kern w:val="2"/>
          <w:lang w:eastAsia="id-ID"/>
          <w14:ligatures w14:val="standardContextual"/>
        </w:rPr>
        <w:t>and responsibility for the development of their musical competence.</w:t>
      </w:r>
    </w:p>
    <w:p w14:paraId="4603A5EB" w14:textId="7D4832F3" w:rsidR="00455E7B" w:rsidRPr="00455E7B" w:rsidRDefault="00455E7B" w:rsidP="00455E7B">
      <w:pPr>
        <w:pBdr>
          <w:top w:val="nil"/>
          <w:left w:val="nil"/>
          <w:bottom w:val="nil"/>
          <w:right w:val="nil"/>
          <w:between w:val="nil"/>
        </w:pBdr>
        <w:ind w:left="2268" w:firstLine="566"/>
        <w:jc w:val="both"/>
        <w:rPr>
          <w:rFonts w:ascii="Century Gothic" w:eastAsia="Times New Roman" w:hAnsi="Century Gothic" w:cs="Times New Roman"/>
          <w:color w:val="000000"/>
          <w:kern w:val="2"/>
          <w:lang w:eastAsia="id-ID"/>
          <w14:ligatures w14:val="standardContextual"/>
        </w:rPr>
      </w:pPr>
    </w:p>
    <w:p w14:paraId="1FDA4CAF" w14:textId="150113E5" w:rsidR="00455E7B" w:rsidRPr="00455E7B" w:rsidRDefault="00455E7B" w:rsidP="00455E7B">
      <w:pPr>
        <w:pBdr>
          <w:top w:val="nil"/>
          <w:left w:val="nil"/>
          <w:bottom w:val="nil"/>
          <w:right w:val="nil"/>
          <w:between w:val="nil"/>
        </w:pBdr>
        <w:ind w:left="2268" w:firstLine="566"/>
        <w:jc w:val="both"/>
        <w:rPr>
          <w:rFonts w:ascii="Century Gothic" w:eastAsia="Times New Roman" w:hAnsi="Century Gothic" w:cs="Times New Roman"/>
          <w:color w:val="000000"/>
          <w:kern w:val="2"/>
          <w:lang w:eastAsia="id-ID"/>
          <w14:ligatures w14:val="standardContextual"/>
        </w:rPr>
      </w:pPr>
    </w:p>
    <w:p w14:paraId="24328BE7" w14:textId="14BC9DCF" w:rsidR="001D37AE" w:rsidRPr="001D37AE" w:rsidRDefault="001D37AE" w:rsidP="001D37AE">
      <w:pPr>
        <w:pBdr>
          <w:top w:val="nil"/>
          <w:left w:val="nil"/>
          <w:bottom w:val="nil"/>
          <w:right w:val="nil"/>
          <w:between w:val="nil"/>
        </w:pBdr>
        <w:ind w:left="2268" w:firstLine="566"/>
        <w:jc w:val="both"/>
        <w:rPr>
          <w:rFonts w:ascii="Century Gothic" w:eastAsia="Times New Roman" w:hAnsi="Century Gothic" w:cs="Times New Roman"/>
          <w:color w:val="000000"/>
          <w:kern w:val="2"/>
          <w:lang w:val="en-US" w:eastAsia="id-ID"/>
          <w14:ligatures w14:val="standardContextual"/>
        </w:rPr>
      </w:pPr>
    </w:p>
    <w:p w14:paraId="70D7E809" w14:textId="422DD6EA" w:rsidR="009968A7" w:rsidRPr="001D37AE" w:rsidRDefault="009968A7" w:rsidP="001D37AE">
      <w:pPr>
        <w:pBdr>
          <w:top w:val="nil"/>
          <w:left w:val="nil"/>
          <w:bottom w:val="nil"/>
          <w:right w:val="nil"/>
          <w:between w:val="nil"/>
        </w:pBdr>
        <w:ind w:left="2268" w:firstLine="566"/>
        <w:jc w:val="both"/>
        <w:rPr>
          <w:rFonts w:ascii="Century Gothic" w:eastAsia="Century Gothic" w:hAnsi="Century Gothic" w:cs="Century Gothic"/>
        </w:rPr>
      </w:pPr>
    </w:p>
    <w:p w14:paraId="32023971" w14:textId="77777777" w:rsidR="006326C5" w:rsidRDefault="006326C5">
      <w:pPr>
        <w:pBdr>
          <w:top w:val="nil"/>
          <w:left w:val="nil"/>
          <w:bottom w:val="nil"/>
          <w:right w:val="nil"/>
          <w:between w:val="nil"/>
        </w:pBdr>
        <w:ind w:left="2268" w:firstLine="566"/>
        <w:jc w:val="both"/>
        <w:rPr>
          <w:rFonts w:ascii="Century Gothic" w:eastAsia="Century Gothic" w:hAnsi="Century Gothic" w:cs="Century Gothic"/>
          <w:color w:val="000000"/>
        </w:rPr>
      </w:pPr>
    </w:p>
    <w:p w14:paraId="1A626D42" w14:textId="77777777" w:rsidR="006326C5" w:rsidRDefault="00BF261B">
      <w:pPr>
        <w:pStyle w:val="Heading1"/>
        <w:spacing w:before="120" w:after="120"/>
        <w:ind w:left="0" w:hanging="2"/>
        <w:rPr>
          <w:rFonts w:ascii="Century Gothic" w:eastAsia="Century Gothic" w:hAnsi="Century Gothic" w:cs="Century Gothic"/>
        </w:rPr>
      </w:pPr>
      <w:r>
        <w:rPr>
          <w:rFonts w:ascii="Century Gothic" w:eastAsia="Century Gothic" w:hAnsi="Century Gothic" w:cs="Century Gothic"/>
          <w:sz w:val="20"/>
          <w:szCs w:val="20"/>
        </w:rPr>
        <w:t>2. METHOD</w:t>
      </w:r>
    </w:p>
    <w:p w14:paraId="19CB3B34" w14:textId="77777777" w:rsidR="00455E7B" w:rsidRPr="00455E7B" w:rsidRDefault="009968A7" w:rsidP="00E463A0">
      <w:pPr>
        <w:pBdr>
          <w:top w:val="nil"/>
          <w:left w:val="nil"/>
          <w:bottom w:val="nil"/>
          <w:right w:val="nil"/>
          <w:between w:val="nil"/>
        </w:pBdr>
        <w:ind w:left="2268" w:firstLine="566"/>
        <w:jc w:val="both"/>
        <w:rPr>
          <w:rFonts w:ascii="Century Gothic" w:eastAsia="Century Gothic" w:hAnsi="Century Gothic" w:cs="Century Gothic"/>
        </w:rPr>
      </w:pPr>
      <w:r w:rsidRPr="009968A7">
        <w:rPr>
          <w:rFonts w:ascii="Century Gothic" w:eastAsia="Century Gothic" w:hAnsi="Century Gothic" w:cs="Century Gothic"/>
        </w:rPr>
        <w:t xml:space="preserve">This study used a qualitative approach with a descriptive-exploratory design, chosen to deeply reveal how the vocal technique learning process is planned, implemented, and evaluated in the context of a 9th-grade vocal group. The qualitative approach is considered most relevant because it allows researchers to understand the meaning, interaction dynamics, and pedagogical context that cannot be measured quantitatively alone (Creswell &amp; Poth, 2018). In the realm of music arts education, this approach has proven effective in capturing the nuances of contextual, reflective, and participatory teaching practices (Jorgensen &amp; Hourigan, 2018). The research location was determined at SMPN 1 Purwodadi, with research subjects including music arts teachers who teach vocal group material, as well as 12–15 9th-grade students who are actively involved in the activity. The subject determination was carried out through a purposive sampling technique, where participants were selected based on the criteria of direct involvement in group vocal learning and diversity of vocal ability levels (Patton, 2020). This strategy ensures that the data obtained is representative of the variety of learning experiences occurring in the field, while also allowing for in-depth information from key informants who understand the pedagogical flow comprehensively. Data collection was conducted through three main, complementary techniques. First, participant observation was conducted during 6–8 vocal group practice sessions using a structured observation sheet focusing on diaphragmatic breathing, articulation, intonation, group dynamics, and teacher pedagogical responses. Second, semi-structured interviews were conducted with teachers and student representatives to explore perceptions, adaptation strategies to the voice mutation period, and technical and non-technical obstacles encountered during the learning process. Third, </w:t>
      </w:r>
      <w:r w:rsidRPr="009968A7">
        <w:rPr>
          <w:rFonts w:ascii="Century Gothic" w:eastAsia="Century Gothic" w:hAnsi="Century Gothic" w:cs="Century Gothic"/>
        </w:rPr>
        <w:lastRenderedPageBreak/>
        <w:t xml:space="preserve">documentation techniques were used to collect lesson plans/teaching modules, audio recordings of practice videos, and teacher reflection notes. The application of triangulation of sources and methods in data collection aligns with methodological recommendations to increase the depth and accuracy of arts education research findings (Sugiyono, 2022). The collected data were analyzed using an interactive model consisting of three simultaneous activity flows: data reduction, data presentation, and conclusion drawing/verification (Miles et al., 2020). In the data reduction stage, raw data from observations, interview transcripts, and documents were classified based on key themes such as mastery of basic vocal techniques, collaborative learning strategies, and inhibiting factors. Next, the data were presented in the form of a thematic matrix and descriptive narrative to facilitate the identification of patterns and relationships between variables. Conclusions were drawn iteratively, continuously cross-checking the findings against the original data to ensure consistency of interpretation. This model was chosen because it has been widely validated in qualitative educational research in Indonesia, particularly those focused on real-life classroom learning practices (Moleong, 2021). To ensure data validity, this study employed triangulation, member checking, and peer debriefing strategies. Triangulation was conducted by comparing findings from observations, interviews, and documentation to minimize researcher interpretation bias. Member checking was conducted by presenting transcripts and initial findings to participating teachers and students to ensure accurate representation of their experiences in the vocal learning process (Merriam &amp; Tisdell, 2019). In addition, researcher reflection notes and an audit trail were systematically maintained to allow for tracking of the analysis path. </w:t>
      </w:r>
      <w:r w:rsidR="00455E7B" w:rsidRPr="00455E7B">
        <w:rPr>
          <w:rFonts w:ascii="Century Gothic" w:eastAsia="Century Gothic" w:hAnsi="Century Gothic" w:cs="Century Gothic"/>
        </w:rPr>
        <w:t>The collected data was analyzed using an interactive model consisting of three simultaneous activity streams: data reduction, data presentation, and conclusion drawing/verification (Miles et al., 2020). In the reduction stage, raw data from observations, interview transcripts, and documents were classified based on key themes such as mastery of basic vocal techniques, collaborative learning strategies, and inhibiting factors. The data were then presented in the form of a thematic matrix and descriptive narrative to facilitate the identification of patterns and relationships between variables. Conclusions were drawn iteratively, continuously cross-checking the findings against the original data to ensure consistency of interpretation. This model was chosen because it has been widely validated in qualitative educational research in Indonesia, particularly that focused on real-life classroom learning practices (Moleong, 2021).</w:t>
      </w:r>
    </w:p>
    <w:p w14:paraId="24AB03EC" w14:textId="77777777" w:rsidR="00455E7B" w:rsidRPr="00455E7B" w:rsidRDefault="00455E7B" w:rsidP="00E463A0">
      <w:pPr>
        <w:pBdr>
          <w:top w:val="nil"/>
          <w:left w:val="nil"/>
          <w:bottom w:val="nil"/>
          <w:right w:val="nil"/>
          <w:between w:val="nil"/>
        </w:pBdr>
        <w:ind w:left="2268" w:firstLine="566"/>
        <w:jc w:val="both"/>
        <w:rPr>
          <w:rFonts w:ascii="Century Gothic" w:eastAsia="Century Gothic" w:hAnsi="Century Gothic" w:cs="Century Gothic"/>
        </w:rPr>
      </w:pPr>
      <w:r w:rsidRPr="00455E7B">
        <w:rPr>
          <w:rFonts w:ascii="Century Gothic" w:eastAsia="Century Gothic" w:hAnsi="Century Gothic" w:cs="Century Gothic"/>
        </w:rPr>
        <w:t xml:space="preserve">To ensure data validity, this study employed triangulation, </w:t>
      </w:r>
      <w:r w:rsidRPr="00455E7B">
        <w:rPr>
          <w:rFonts w:ascii="Century Gothic" w:eastAsia="Century Gothic" w:hAnsi="Century Gothic" w:cs="Century Gothic"/>
          <w:i/>
          <w:iCs/>
        </w:rPr>
        <w:t xml:space="preserve">member checking </w:t>
      </w:r>
      <w:r w:rsidRPr="00455E7B">
        <w:rPr>
          <w:rFonts w:ascii="Century Gothic" w:eastAsia="Century Gothic" w:hAnsi="Century Gothic" w:cs="Century Gothic"/>
        </w:rPr>
        <w:t xml:space="preserve">, and </w:t>
      </w:r>
      <w:r w:rsidRPr="00455E7B">
        <w:rPr>
          <w:rFonts w:ascii="Century Gothic" w:eastAsia="Century Gothic" w:hAnsi="Century Gothic" w:cs="Century Gothic"/>
          <w:i/>
          <w:iCs/>
        </w:rPr>
        <w:t xml:space="preserve">peer debriefing strategies </w:t>
      </w:r>
      <w:r w:rsidRPr="00455E7B">
        <w:rPr>
          <w:rFonts w:ascii="Century Gothic" w:eastAsia="Century Gothic" w:hAnsi="Century Gothic" w:cs="Century Gothic"/>
        </w:rPr>
        <w:t xml:space="preserve">. Triangulation was conducted by comparing findings from observations, interviews, and documentation to minimize researcher interpretation bias. </w:t>
      </w:r>
      <w:r w:rsidRPr="00455E7B">
        <w:rPr>
          <w:rFonts w:ascii="Century Gothic" w:eastAsia="Century Gothic" w:hAnsi="Century Gothic" w:cs="Century Gothic"/>
          <w:i/>
          <w:iCs/>
        </w:rPr>
        <w:t xml:space="preserve">Member checking </w:t>
      </w:r>
      <w:r w:rsidRPr="00455E7B">
        <w:rPr>
          <w:rFonts w:ascii="Century Gothic" w:eastAsia="Century Gothic" w:hAnsi="Century Gothic" w:cs="Century Gothic"/>
        </w:rPr>
        <w:t xml:space="preserve">was conducted by presenting transcripts and initial findings to participating teachers and students to ensure the accurate representation of their experiences in the vocal learning process (Merriam &amp; Tisdell, 2019). In addition, researcher reflection notes and </w:t>
      </w:r>
      <w:r w:rsidRPr="00455E7B">
        <w:rPr>
          <w:rFonts w:ascii="Century Gothic" w:eastAsia="Century Gothic" w:hAnsi="Century Gothic" w:cs="Century Gothic"/>
          <w:i/>
          <w:iCs/>
        </w:rPr>
        <w:t xml:space="preserve">an audit trail </w:t>
      </w:r>
      <w:r w:rsidRPr="00455E7B">
        <w:rPr>
          <w:rFonts w:ascii="Century Gothic" w:eastAsia="Century Gothic" w:hAnsi="Century Gothic" w:cs="Century Gothic"/>
        </w:rPr>
        <w:t xml:space="preserve">were systematically maintained to allow for further analysis. Ethical considerations of the study were also addressed through the provision of informed </w:t>
      </w:r>
      <w:r w:rsidRPr="00455E7B">
        <w:rPr>
          <w:rFonts w:ascii="Century Gothic" w:eastAsia="Century Gothic" w:hAnsi="Century Gothic" w:cs="Century Gothic"/>
          <w:i/>
          <w:iCs/>
        </w:rPr>
        <w:t xml:space="preserve">consent </w:t>
      </w:r>
      <w:r w:rsidRPr="00455E7B">
        <w:rPr>
          <w:rFonts w:ascii="Century Gothic" w:eastAsia="Century Gothic" w:hAnsi="Century Gothic" w:cs="Century Gothic"/>
        </w:rPr>
        <w:t xml:space="preserve">, assurance of </w:t>
      </w:r>
      <w:r w:rsidRPr="00455E7B">
        <w:rPr>
          <w:rFonts w:ascii="Century Gothic" w:eastAsia="Century Gothic" w:hAnsi="Century Gothic" w:cs="Century Gothic"/>
        </w:rPr>
        <w:lastRenderedPageBreak/>
        <w:t>confidentiality, and respect for participant autonomy throughout all stages of the study.</w:t>
      </w:r>
    </w:p>
    <w:p w14:paraId="7D15694A" w14:textId="4FC239E4" w:rsidR="00455E7B" w:rsidRPr="00455E7B" w:rsidRDefault="009968A7" w:rsidP="00E463A0">
      <w:pPr>
        <w:pBdr>
          <w:top w:val="nil"/>
          <w:left w:val="nil"/>
          <w:bottom w:val="nil"/>
          <w:right w:val="nil"/>
          <w:between w:val="nil"/>
        </w:pBdr>
        <w:ind w:left="2268" w:firstLine="566"/>
        <w:jc w:val="both"/>
        <w:rPr>
          <w:rFonts w:ascii="Century Gothic" w:eastAsia="Century Gothic" w:hAnsi="Century Gothic" w:cs="Century Gothic"/>
        </w:rPr>
      </w:pPr>
      <w:r w:rsidRPr="009968A7">
        <w:rPr>
          <w:rFonts w:ascii="Century Gothic" w:eastAsia="Century Gothic" w:hAnsi="Century Gothic" w:cs="Century Gothic"/>
        </w:rPr>
        <w:t>Ethical considerations of the research were also addressed through the granting of informed consent, guaranteeing confidentiality, and respecting participant autonomy throughout all stages of the study. Data analysis is a crucial part of the research, as it yields both substantive and formal findings. In qualitative data analysis, the data that emerges are in the form of words, not numbers. Data are collected in various ways (observation, interviews, abstracts, documents, recordings), which are typically processed before use. However, qualitative data analysis still utilizes rich words, typically organized into expanded text. This research data analysis employed an interactive model. The first stage was the reduction of raw data from observations, interviews, and documentation, classified based on the main research themes (vocal technique mastery, collaborative learning strategies, and barriers). Second, the data were presented in the form of a thematic matrix and descriptive narrative. Third, conclusions were drawn interactively, periodically checking the findings against the original data to ensure consistency of interpretation.</w:t>
      </w:r>
    </w:p>
    <w:p w14:paraId="284FBE05" w14:textId="3975429B" w:rsidR="009968A7" w:rsidRPr="009968A7" w:rsidRDefault="009968A7">
      <w:pPr>
        <w:pBdr>
          <w:top w:val="nil"/>
          <w:left w:val="nil"/>
          <w:bottom w:val="nil"/>
          <w:right w:val="nil"/>
          <w:between w:val="nil"/>
        </w:pBdr>
        <w:ind w:left="2268" w:firstLine="566"/>
        <w:jc w:val="both"/>
        <w:rPr>
          <w:rFonts w:ascii="Century Gothic" w:eastAsia="Century Gothic" w:hAnsi="Century Gothic" w:cs="Century Gothic"/>
        </w:rPr>
      </w:pPr>
    </w:p>
    <w:p w14:paraId="1A690DED" w14:textId="77777777" w:rsidR="006326C5" w:rsidRDefault="006326C5">
      <w:pPr>
        <w:pBdr>
          <w:top w:val="nil"/>
          <w:left w:val="nil"/>
          <w:bottom w:val="nil"/>
          <w:right w:val="nil"/>
          <w:between w:val="nil"/>
        </w:pBdr>
        <w:ind w:left="2268" w:firstLine="566"/>
        <w:jc w:val="both"/>
        <w:rPr>
          <w:rFonts w:ascii="Century Gothic" w:eastAsia="Century Gothic" w:hAnsi="Century Gothic" w:cs="Century Gothic"/>
        </w:rPr>
      </w:pPr>
    </w:p>
    <w:p w14:paraId="212FF139" w14:textId="0C13A9A7" w:rsidR="006326C5" w:rsidRPr="00EB5C5E" w:rsidRDefault="00BF261B" w:rsidP="00EB5C5E">
      <w:pPr>
        <w:pStyle w:val="Heading1"/>
        <w:spacing w:before="120" w:after="120"/>
        <w:ind w:left="0" w:hanging="2"/>
        <w:rPr>
          <w:rFonts w:ascii="Century Gothic" w:eastAsia="Century Gothic" w:hAnsi="Century Gothic" w:cs="Century Gothic"/>
          <w:b w:val="0"/>
          <w:bCs w:val="0"/>
          <w:noProof/>
          <w:sz w:val="18"/>
          <w:szCs w:val="18"/>
        </w:rPr>
      </w:pPr>
      <w:r>
        <w:rPr>
          <w:rFonts w:ascii="Century Gothic" w:eastAsia="Century Gothic" w:hAnsi="Century Gothic" w:cs="Century Gothic"/>
          <w:sz w:val="20"/>
          <w:szCs w:val="20"/>
        </w:rPr>
        <w:t>3. RESULTS AND DISCUSSION</w:t>
      </w:r>
    </w:p>
    <w:p w14:paraId="515372ED" w14:textId="77777777" w:rsidR="009968A7" w:rsidRDefault="009968A7" w:rsidP="00EB5C5E">
      <w:pPr>
        <w:pBdr>
          <w:top w:val="nil"/>
          <w:left w:val="nil"/>
          <w:bottom w:val="nil"/>
          <w:right w:val="nil"/>
          <w:between w:val="nil"/>
        </w:pBdr>
        <w:ind w:left="720"/>
        <w:jc w:val="both"/>
        <w:rPr>
          <w:rFonts w:ascii="Century Gothic" w:eastAsia="Century Gothic" w:hAnsi="Century Gothic" w:cs="Century Gothic"/>
        </w:rPr>
      </w:pPr>
      <w:r w:rsidRPr="009968A7">
        <w:rPr>
          <w:rFonts w:ascii="Century Gothic" w:eastAsia="Century Gothic" w:hAnsi="Century Gothic" w:cs="Century Gothic"/>
        </w:rPr>
        <w:t>3.1 Planning Vocal Technique Learning that is Oriented to Voice Health</w:t>
      </w:r>
    </w:p>
    <w:p w14:paraId="26EE07BF" w14:textId="77777777" w:rsidR="00EB5C5E" w:rsidRDefault="009968A7">
      <w:pPr>
        <w:pBdr>
          <w:top w:val="nil"/>
          <w:left w:val="nil"/>
          <w:bottom w:val="nil"/>
          <w:right w:val="nil"/>
          <w:between w:val="nil"/>
        </w:pBdr>
        <w:ind w:left="2268" w:firstLine="566"/>
        <w:jc w:val="both"/>
        <w:rPr>
          <w:rFonts w:ascii="Century Gothic" w:eastAsia="Century Gothic" w:hAnsi="Century Gothic" w:cs="Century Gothic"/>
        </w:rPr>
      </w:pPr>
      <w:r w:rsidRPr="009968A7">
        <w:rPr>
          <w:rFonts w:ascii="Century Gothic" w:eastAsia="Century Gothic" w:hAnsi="Century Gothic" w:cs="Century Gothic"/>
        </w:rPr>
        <w:t>Based on an analysis of teaching module documents and interview results, the vocal technique lesson plan at SMPN 1 Purwodadi was developed with reference to Phase D Learning Outcomes and vocal health principles. Teachers designed progressive training stages, starting with posture adjustments, diaphragmatic breathing exercises, vocal warm-ups (vocalise), and then articulation and resonance exercises. This plan focused not only on aesthetics but also on preventing laryngeal muscle tension and premature vocal cord fatigue. This aligns with findings that a vocal pedagogical approach for adolescents should prioritize physiological safety before pursuing pitch or dynamic accuracy (Kusuma &amp; Wulandari, 2021). Teachers also utilized metronome and pitch tuner apps as self-diagnostic tools, although their application was still limited by the availability of student devices. This flexible yet structured planning strategy allowed for differentiation of material based on vocal maturity levels, as recommended in the adaptive vocal pedagogy model for the secondary school context (Santoso &amp; Rahmawati, 2022).</w:t>
      </w:r>
    </w:p>
    <w:p w14:paraId="62CC8AC7" w14:textId="77777777" w:rsidR="00EB5C5E" w:rsidRDefault="00EB5C5E">
      <w:pPr>
        <w:pBdr>
          <w:top w:val="nil"/>
          <w:left w:val="nil"/>
          <w:bottom w:val="nil"/>
          <w:right w:val="nil"/>
          <w:between w:val="nil"/>
        </w:pBdr>
        <w:ind w:left="2268" w:firstLine="566"/>
        <w:jc w:val="both"/>
        <w:rPr>
          <w:rFonts w:ascii="Century Gothic" w:eastAsia="Century Gothic" w:hAnsi="Century Gothic" w:cs="Century Gothic"/>
        </w:rPr>
      </w:pPr>
    </w:p>
    <w:p w14:paraId="224B435D" w14:textId="77777777" w:rsidR="00EB5C5E" w:rsidRDefault="009968A7" w:rsidP="00EB5C5E">
      <w:pPr>
        <w:pBdr>
          <w:top w:val="nil"/>
          <w:left w:val="nil"/>
          <w:bottom w:val="nil"/>
          <w:right w:val="nil"/>
          <w:between w:val="nil"/>
        </w:pBdr>
        <w:ind w:left="851"/>
        <w:jc w:val="both"/>
        <w:rPr>
          <w:rFonts w:ascii="Century Gothic" w:eastAsia="Century Gothic" w:hAnsi="Century Gothic" w:cs="Century Gothic"/>
        </w:rPr>
      </w:pPr>
      <w:r w:rsidRPr="009968A7">
        <w:rPr>
          <w:rFonts w:ascii="Century Gothic" w:eastAsia="Century Gothic" w:hAnsi="Century Gothic" w:cs="Century Gothic"/>
        </w:rPr>
        <w:t>3.2 Implementation of Basic Vocal Techniques and Group Collaboration Dynamics</w:t>
      </w:r>
    </w:p>
    <w:p w14:paraId="78F2D357" w14:textId="77777777" w:rsidR="00EB5C5E" w:rsidRDefault="009968A7" w:rsidP="00EB5C5E">
      <w:pPr>
        <w:pBdr>
          <w:top w:val="nil"/>
          <w:left w:val="nil"/>
          <w:bottom w:val="nil"/>
          <w:right w:val="nil"/>
          <w:between w:val="nil"/>
        </w:pBdr>
        <w:ind w:left="2268" w:firstLine="720"/>
        <w:jc w:val="both"/>
        <w:rPr>
          <w:rFonts w:ascii="Century Gothic" w:eastAsia="Century Gothic" w:hAnsi="Century Gothic" w:cs="Century Gothic"/>
        </w:rPr>
      </w:pPr>
      <w:r w:rsidRPr="009968A7">
        <w:rPr>
          <w:rFonts w:ascii="Century Gothic" w:eastAsia="Century Gothic" w:hAnsi="Century Gothic" w:cs="Century Gothic"/>
        </w:rPr>
        <w:t xml:space="preserve">During the implementation phase, observations showed that students gradually gained control over their breath flow and reduced neck tension after 3–4 guided practice sessions. Teachers applied corrections through live demonstrations, auditory feedback, and jaw and tongue relaxation exercises. These findings reinforce the argument that mastering fine motor coordination in vocal production requires multimodal repetition and continuous honing of kinesthetic awareness (Prasetya et al., 2023). In a vocal group context, students were trained to harmonize intonation, blend, and balance through simple harmonization exercises. This process not only trained technical skills but also developed auditory sensitivity and musical empathy among </w:t>
      </w:r>
      <w:r w:rsidRPr="009968A7">
        <w:rPr>
          <w:rFonts w:ascii="Century Gothic" w:eastAsia="Century Gothic" w:hAnsi="Century Gothic" w:cs="Century Gothic"/>
        </w:rPr>
        <w:lastRenderedPageBreak/>
        <w:t>participants. As emphasized in choral education literature, vocal collaboration serves as a social space where students learn to listen, adapt, and appreciate the role of each voice within the harmonic structure (Jorgensen &amp; Hourigan, 2018). However, some students with transitional voices tended to sing at a low volume or avoided the demanding alto/soprano parts, which require more personalized pedagogical intervention.</w:t>
      </w:r>
    </w:p>
    <w:p w14:paraId="7E9FD291" w14:textId="77777777" w:rsidR="00EB5C5E" w:rsidRDefault="009968A7" w:rsidP="00EB5C5E">
      <w:pPr>
        <w:pBdr>
          <w:top w:val="nil"/>
          <w:left w:val="nil"/>
          <w:bottom w:val="nil"/>
          <w:right w:val="nil"/>
          <w:between w:val="nil"/>
        </w:pBdr>
        <w:ind w:left="851"/>
        <w:jc w:val="both"/>
        <w:rPr>
          <w:rFonts w:ascii="Century Gothic" w:eastAsia="Century Gothic" w:hAnsi="Century Gothic" w:cs="Century Gothic"/>
        </w:rPr>
      </w:pPr>
      <w:r w:rsidRPr="009968A7">
        <w:rPr>
          <w:rFonts w:ascii="Century Gothic" w:eastAsia="Century Gothic" w:hAnsi="Century Gothic" w:cs="Century Gothic"/>
        </w:rPr>
        <w:t>3.3. Adapting Learning to the Voice Mutation Period of Adolescents</w:t>
      </w:r>
    </w:p>
    <w:p w14:paraId="05A389B8" w14:textId="77777777" w:rsidR="00EB5C5E" w:rsidRDefault="009968A7" w:rsidP="00EB5C5E">
      <w:pPr>
        <w:pBdr>
          <w:top w:val="nil"/>
          <w:left w:val="nil"/>
          <w:bottom w:val="nil"/>
          <w:right w:val="nil"/>
          <w:between w:val="nil"/>
        </w:pBdr>
        <w:ind w:left="2268" w:firstLine="720"/>
        <w:jc w:val="both"/>
        <w:rPr>
          <w:rFonts w:ascii="Century Gothic" w:eastAsia="Century Gothic" w:hAnsi="Century Gothic" w:cs="Century Gothic"/>
        </w:rPr>
      </w:pPr>
      <w:r w:rsidRPr="009968A7">
        <w:rPr>
          <w:rFonts w:ascii="Century Gothic" w:eastAsia="Century Gothic" w:hAnsi="Century Gothic" w:cs="Century Gothic"/>
        </w:rPr>
        <w:t>One of the critical findings of this study was the variation in students' physiological and psychological responses to voice changes between the ages of 13 and 15. Teachers implemented a differentiation strategy by grouping students based on their temporary vocal range, providing safe humming and head voice exercises, and avoiding stress on unstable high notes. This approach has been proven effective in reducing vocal discomfort and maintaining active student participation. The literature confirms that improper management of voice mutations can lead to unhealthy phonation habits into adulthood, making interventions based on vocal health principles a pedagogical imperative (Kasihani &amp; Prasetyo, 2021). At SMPN 1 Purwodadi, teachers also integrated simple anatomy education about the vocal cords and the mutation cycle into the material, ensuring students understand that register change is a natural biological process. This approach aligns with contemporary vocal pedagogy recommendations that emphasize physiological literacy as part of adolescent musical learning independence (Lestari &amp; Haryanto, 2020).</w:t>
      </w:r>
    </w:p>
    <w:p w14:paraId="62BA1CEB" w14:textId="77777777" w:rsidR="00EB5C5E" w:rsidRDefault="00EB5C5E" w:rsidP="00EB5C5E">
      <w:pPr>
        <w:pBdr>
          <w:top w:val="nil"/>
          <w:left w:val="nil"/>
          <w:bottom w:val="nil"/>
          <w:right w:val="nil"/>
          <w:between w:val="nil"/>
        </w:pBdr>
        <w:ind w:left="851"/>
        <w:jc w:val="both"/>
        <w:rPr>
          <w:rFonts w:ascii="Century Gothic" w:eastAsia="Century Gothic" w:hAnsi="Century Gothic" w:cs="Century Gothic"/>
        </w:rPr>
      </w:pPr>
      <w:r w:rsidRPr="00EB5C5E">
        <w:rPr>
          <w:rFonts w:ascii="Century Gothic" w:eastAsia="Century Gothic" w:hAnsi="Century Gothic" w:cs="Century Gothic"/>
        </w:rPr>
        <w:t>3.4. Formative Evaluation and Implementation Barriers in the Field</w:t>
      </w:r>
    </w:p>
    <w:p w14:paraId="7DE42861" w14:textId="77777777" w:rsidR="00E463A0" w:rsidRPr="00E463A0" w:rsidRDefault="00EB5C5E" w:rsidP="00E463A0">
      <w:pPr>
        <w:pBdr>
          <w:top w:val="nil"/>
          <w:left w:val="nil"/>
          <w:bottom w:val="nil"/>
          <w:right w:val="nil"/>
          <w:between w:val="nil"/>
        </w:pBdr>
        <w:ind w:left="2268"/>
        <w:jc w:val="both"/>
        <w:rPr>
          <w:rFonts w:ascii="Century Gothic" w:eastAsia="Century Gothic" w:hAnsi="Century Gothic" w:cs="Century Gothic"/>
        </w:rPr>
      </w:pPr>
      <w:r w:rsidRPr="00EB5C5E">
        <w:rPr>
          <w:rFonts w:ascii="Century Gothic" w:eastAsia="Century Gothic" w:hAnsi="Century Gothic" w:cs="Century Gothic"/>
        </w:rPr>
        <w:t xml:space="preserve">Learning evaluation was conducted formatively through direct observation, practice recordings, and student self-reflection. Teachers used a simple rubric covering aspects of breath control, articulation clarity, intonation accuracy, and contribution to group harmony. However, several structural barriers affected the depth of learning, including limited face-to-face time allocated amidst academic workloads, a lack of practice spaces with adequate acoustics, and a lack of teacher training in clinical vocal methods for adolescents. These barriers impacted practice consistency and the speed of technique mastery. Previous research confirms that the effectiveness of group vocal learning is highly dependent on a supportive acoustic environment and evenly distributed practice time (Setiawan &amp; Rahayu, 2023). To mitigate these obstacles, teachers implemented a peer tutoring model and assigned independent practice assignments based on audio recordings at home. This strategy not only optimized time constraints but also strengthened student agency in the learning process, as found in flipped learning practices in arts education (Widiastuti &amp; Nugroho, 2022). </w:t>
      </w:r>
      <w:r w:rsidR="00E463A0">
        <w:rPr>
          <w:rFonts w:ascii="Century Gothic" w:eastAsia="Century Gothic" w:hAnsi="Century Gothic" w:cs="Century Gothic"/>
        </w:rPr>
        <w:t xml:space="preserve">Based on an analysis of teaching module documents and interview results, the vocal technique lesson plan at SMPN 1 Purwodadi was developed with reference to Phase D Learning Outcomes and </w:t>
      </w:r>
      <w:r w:rsidR="00E463A0" w:rsidRPr="00E463A0">
        <w:rPr>
          <w:rFonts w:ascii="Century Gothic" w:eastAsia="Century Gothic" w:hAnsi="Century Gothic" w:cs="Century Gothic"/>
          <w:i/>
          <w:iCs/>
        </w:rPr>
        <w:t xml:space="preserve">vocal health principles </w:t>
      </w:r>
      <w:r w:rsidR="00E463A0" w:rsidRPr="00E463A0">
        <w:rPr>
          <w:rFonts w:ascii="Century Gothic" w:eastAsia="Century Gothic" w:hAnsi="Century Gothic" w:cs="Century Gothic"/>
        </w:rPr>
        <w:t xml:space="preserve">. Teachers designed progressive training stages, starting with posture adjustments, diaphragmatic breathing exercises, vocal warm-ups </w:t>
      </w:r>
      <w:r w:rsidR="00E463A0" w:rsidRPr="00E463A0">
        <w:rPr>
          <w:rFonts w:ascii="Century Gothic" w:eastAsia="Century Gothic" w:hAnsi="Century Gothic" w:cs="Century Gothic"/>
          <w:i/>
          <w:iCs/>
        </w:rPr>
        <w:t xml:space="preserve">(vocalise), </w:t>
      </w:r>
      <w:r w:rsidR="00E463A0" w:rsidRPr="00E463A0">
        <w:rPr>
          <w:rFonts w:ascii="Century Gothic" w:eastAsia="Century Gothic" w:hAnsi="Century Gothic" w:cs="Century Gothic"/>
        </w:rPr>
        <w:t xml:space="preserve">and then articulation and resonance exercises. This plan focused not only on aesthetic achievement but also on preventing laryngeal muscle tension and premature vocal cord fatigue. This aligns with findings that a vocal pedagogical approach for adolescents should prioritize physiological safety before pursuing pitch or dynamic accuracy (Kusuma &amp; </w:t>
      </w:r>
      <w:r w:rsidR="00E463A0" w:rsidRPr="00E463A0">
        <w:rPr>
          <w:rFonts w:ascii="Century Gothic" w:eastAsia="Century Gothic" w:hAnsi="Century Gothic" w:cs="Century Gothic"/>
        </w:rPr>
        <w:lastRenderedPageBreak/>
        <w:t xml:space="preserve">Wulandari, 2021). Teachers also utilized a </w:t>
      </w:r>
      <w:r w:rsidR="00E463A0" w:rsidRPr="00E463A0">
        <w:rPr>
          <w:rFonts w:ascii="Century Gothic" w:eastAsia="Century Gothic" w:hAnsi="Century Gothic" w:cs="Century Gothic"/>
          <w:i/>
          <w:iCs/>
        </w:rPr>
        <w:t xml:space="preserve">metronome </w:t>
      </w:r>
      <w:r w:rsidR="00E463A0" w:rsidRPr="00E463A0">
        <w:rPr>
          <w:rFonts w:ascii="Century Gothic" w:eastAsia="Century Gothic" w:hAnsi="Century Gothic" w:cs="Century Gothic"/>
        </w:rPr>
        <w:t xml:space="preserve">and </w:t>
      </w:r>
      <w:r w:rsidR="00E463A0" w:rsidRPr="00E463A0">
        <w:rPr>
          <w:rFonts w:ascii="Century Gothic" w:eastAsia="Century Gothic" w:hAnsi="Century Gothic" w:cs="Century Gothic"/>
          <w:i/>
          <w:iCs/>
        </w:rPr>
        <w:t xml:space="preserve">pitch tuner application as self-diagnostic tools, allowing for the differentiation of material according to vocal maturity levels, as recommended in the adaptive vocal pedagogy </w:t>
      </w:r>
      <w:r w:rsidR="00E463A0" w:rsidRPr="00E463A0">
        <w:rPr>
          <w:rFonts w:ascii="Century Gothic" w:eastAsia="Century Gothic" w:hAnsi="Century Gothic" w:cs="Century Gothic"/>
        </w:rPr>
        <w:t xml:space="preserve">model for the secondary school context (Santoso &amp; Rahmawati, 2022). The progressive stages in the vocal technique lesson plan were designed based on the principles of </w:t>
      </w:r>
      <w:r w:rsidR="00E463A0" w:rsidRPr="00E463A0">
        <w:rPr>
          <w:rFonts w:ascii="Century Gothic" w:eastAsia="Century Gothic" w:hAnsi="Century Gothic" w:cs="Century Gothic"/>
          <w:i/>
          <w:iCs/>
        </w:rPr>
        <w:t xml:space="preserve">sequential motor learning </w:t>
      </w:r>
      <w:r w:rsidR="00E463A0" w:rsidRPr="00E463A0">
        <w:rPr>
          <w:rFonts w:ascii="Century Gothic" w:eastAsia="Century Gothic" w:hAnsi="Century Gothic" w:cs="Century Gothic"/>
        </w:rPr>
        <w:t xml:space="preserve">and the physiology of voice production, where each stage serves as a mechanical and </w:t>
      </w:r>
      <w:r w:rsidR="00E463A0" w:rsidRPr="00E463A0">
        <w:rPr>
          <w:rFonts w:ascii="Century Gothic" w:eastAsia="Century Gothic" w:hAnsi="Century Gothic" w:cs="Century Gothic"/>
          <w:i/>
          <w:iCs/>
        </w:rPr>
        <w:t xml:space="preserve">neuromuscular prerequisite </w:t>
      </w:r>
      <w:r w:rsidR="00E463A0" w:rsidRPr="00E463A0">
        <w:rPr>
          <w:rFonts w:ascii="Century Gothic" w:eastAsia="Century Gothic" w:hAnsi="Century Gothic" w:cs="Century Gothic"/>
        </w:rPr>
        <w:t>for the next stage. This approach avoids technical pressure on adolescents' vocal cords, which are in the biological adaptation phase, while ensuring a safe transition from individual body awareness to vocal integration within a group context. Here's a detailed analysis of each progressive stage:</w:t>
      </w:r>
    </w:p>
    <w:p w14:paraId="34EE0920" w14:textId="77777777" w:rsidR="00E463A0" w:rsidRPr="00E463A0" w:rsidRDefault="00E463A0" w:rsidP="00E463A0">
      <w:pPr>
        <w:pBdr>
          <w:top w:val="nil"/>
          <w:left w:val="nil"/>
          <w:bottom w:val="nil"/>
          <w:right w:val="nil"/>
          <w:between w:val="nil"/>
        </w:pBdr>
        <w:ind w:left="2268"/>
        <w:jc w:val="both"/>
        <w:rPr>
          <w:rFonts w:ascii="Century Gothic" w:eastAsia="Century Gothic" w:hAnsi="Century Gothic" w:cs="Century Gothic"/>
        </w:rPr>
      </w:pPr>
      <w:r w:rsidRPr="00E463A0">
        <w:rPr>
          <w:rFonts w:ascii="Century Gothic" w:eastAsia="Century Gothic" w:hAnsi="Century Gothic" w:cs="Century Gothic"/>
        </w:rPr>
        <w:t>1. Posture Adjustment &amp; Body Awareness</w:t>
      </w:r>
    </w:p>
    <w:p w14:paraId="2AE0DC14" w14:textId="77777777" w:rsidR="00E463A0" w:rsidRPr="00E463A0" w:rsidRDefault="00E463A0" w:rsidP="00E463A0">
      <w:pPr>
        <w:pBdr>
          <w:top w:val="nil"/>
          <w:left w:val="nil"/>
          <w:bottom w:val="nil"/>
          <w:right w:val="nil"/>
          <w:between w:val="nil"/>
        </w:pBdr>
        <w:ind w:left="2268"/>
        <w:jc w:val="both"/>
        <w:rPr>
          <w:rFonts w:ascii="Century Gothic" w:eastAsia="Century Gothic" w:hAnsi="Century Gothic" w:cs="Century Gothic"/>
        </w:rPr>
      </w:pPr>
      <w:r w:rsidRPr="00E463A0">
        <w:rPr>
          <w:rFonts w:ascii="Century Gothic" w:eastAsia="Century Gothic" w:hAnsi="Century Gothic" w:cs="Century Gothic"/>
        </w:rPr>
        <w:t xml:space="preserve">The initial phase focuses on neutralizing posture and developing kinesthetic awareness. Students are instructed to place their feet shoulder-width apart, relax their shoulders, tuck their chin slightly in, and maintain a straight spine so that the diaphragm can move freely without compensating neck muscles. In 9th grade, teachers use mirrors, </w:t>
      </w:r>
      <w:r w:rsidRPr="00E463A0">
        <w:rPr>
          <w:rFonts w:ascii="Century Gothic" w:eastAsia="Century Gothic" w:hAnsi="Century Gothic" w:cs="Century Gothic"/>
          <w:i/>
          <w:iCs/>
        </w:rPr>
        <w:t xml:space="preserve">tactile cues </w:t>
      </w:r>
      <w:r w:rsidRPr="00E463A0">
        <w:rPr>
          <w:rFonts w:ascii="Century Gothic" w:eastAsia="Century Gothic" w:hAnsi="Century Gothic" w:cs="Century Gothic"/>
        </w:rPr>
        <w:t xml:space="preserve">, or peer </w:t>
      </w:r>
      <w:r w:rsidRPr="00E463A0">
        <w:rPr>
          <w:rFonts w:ascii="Century Gothic" w:eastAsia="Century Gothic" w:hAnsi="Century Gothic" w:cs="Century Gothic"/>
          <w:i/>
          <w:iCs/>
        </w:rPr>
        <w:t xml:space="preserve">alignment checks </w:t>
      </w:r>
      <w:r w:rsidRPr="00E463A0">
        <w:rPr>
          <w:rFonts w:ascii="Century Gothic" w:eastAsia="Century Gothic" w:hAnsi="Century Gothic" w:cs="Century Gothic"/>
        </w:rPr>
        <w:t>to help students identify incorrect posture habits before engaging in more advanced breathing exercises.</w:t>
      </w:r>
    </w:p>
    <w:p w14:paraId="0F67C1BC" w14:textId="77777777" w:rsidR="00E463A0" w:rsidRPr="00E463A0" w:rsidRDefault="00E463A0" w:rsidP="00E463A0">
      <w:pPr>
        <w:pBdr>
          <w:top w:val="nil"/>
          <w:left w:val="nil"/>
          <w:bottom w:val="nil"/>
          <w:right w:val="nil"/>
          <w:between w:val="nil"/>
        </w:pBdr>
        <w:ind w:left="2268"/>
        <w:jc w:val="both"/>
        <w:rPr>
          <w:rFonts w:ascii="Century Gothic" w:eastAsia="Century Gothic" w:hAnsi="Century Gothic" w:cs="Century Gothic"/>
        </w:rPr>
      </w:pPr>
      <w:r w:rsidRPr="00E463A0">
        <w:rPr>
          <w:rFonts w:ascii="Century Gothic" w:eastAsia="Century Gothic" w:hAnsi="Century Gothic" w:cs="Century Gothic"/>
        </w:rPr>
        <w:t xml:space="preserve">2. Diaphragmatic Breathing Exercises &amp; Air Flow Control ( </w:t>
      </w:r>
      <w:r w:rsidRPr="00E463A0">
        <w:rPr>
          <w:rFonts w:ascii="Century Gothic" w:eastAsia="Century Gothic" w:hAnsi="Century Gothic" w:cs="Century Gothic"/>
          <w:i/>
          <w:iCs/>
        </w:rPr>
        <w:t xml:space="preserve">Breath Management </w:t>
      </w:r>
      <w:r w:rsidRPr="00E463A0">
        <w:rPr>
          <w:rFonts w:ascii="Century Gothic" w:eastAsia="Century Gothic" w:hAnsi="Century Gothic" w:cs="Century Gothic"/>
        </w:rPr>
        <w:t>)</w:t>
      </w:r>
    </w:p>
    <w:p w14:paraId="1A80144D" w14:textId="77777777" w:rsidR="00E463A0" w:rsidRPr="00E463A0" w:rsidRDefault="00E463A0" w:rsidP="00E463A0">
      <w:pPr>
        <w:pBdr>
          <w:top w:val="nil"/>
          <w:left w:val="nil"/>
          <w:bottom w:val="nil"/>
          <w:right w:val="nil"/>
          <w:between w:val="nil"/>
        </w:pBdr>
        <w:ind w:left="2268"/>
        <w:jc w:val="both"/>
        <w:rPr>
          <w:rFonts w:ascii="Century Gothic" w:eastAsia="Century Gothic" w:hAnsi="Century Gothic" w:cs="Century Gothic"/>
        </w:rPr>
      </w:pPr>
      <w:r w:rsidRPr="00E463A0">
        <w:rPr>
          <w:rFonts w:ascii="Century Gothic" w:eastAsia="Century Gothic" w:hAnsi="Century Gothic" w:cs="Century Gothic"/>
        </w:rPr>
        <w:t xml:space="preserve">Once posture is stable, learning moves on to activating and controlling diaphragmatic breathing. Students are trained to differentiate shallow clavicular breathing from efficient abdominal breathing through </w:t>
      </w:r>
      <w:r w:rsidRPr="00E463A0">
        <w:rPr>
          <w:rFonts w:ascii="Century Gothic" w:eastAsia="Century Gothic" w:hAnsi="Century Gothic" w:cs="Century Gothic"/>
          <w:i/>
          <w:iCs/>
        </w:rPr>
        <w:t xml:space="preserve">hissing exercises </w:t>
      </w:r>
      <w:r w:rsidRPr="00E463A0">
        <w:rPr>
          <w:rFonts w:ascii="Century Gothic" w:eastAsia="Century Gothic" w:hAnsi="Century Gothic" w:cs="Century Gothic"/>
        </w:rPr>
        <w:t xml:space="preserve">, </w:t>
      </w:r>
      <w:r w:rsidRPr="00E463A0">
        <w:rPr>
          <w:rFonts w:ascii="Century Gothic" w:eastAsia="Century Gothic" w:hAnsi="Century Gothic" w:cs="Century Gothic"/>
          <w:i/>
          <w:iCs/>
        </w:rPr>
        <w:t xml:space="preserve">sustained tones </w:t>
      </w:r>
      <w:r w:rsidRPr="00E463A0">
        <w:rPr>
          <w:rFonts w:ascii="Century Gothic" w:eastAsia="Century Gothic" w:hAnsi="Century Gothic" w:cs="Century Gothic"/>
        </w:rPr>
        <w:t xml:space="preserve">at a comfortable </w:t>
      </w:r>
      <w:r w:rsidRPr="00E463A0">
        <w:rPr>
          <w:rFonts w:ascii="Century Gothic" w:eastAsia="Century Gothic" w:hAnsi="Century Gothic" w:cs="Century Gothic"/>
          <w:i/>
          <w:iCs/>
        </w:rPr>
        <w:t xml:space="preserve">pitch , and measuring costal expansion. Airflow management </w:t>
      </w:r>
      <w:r w:rsidRPr="00E463A0">
        <w:rPr>
          <w:rFonts w:ascii="Century Gothic" w:eastAsia="Century Gothic" w:hAnsi="Century Gothic" w:cs="Century Gothic"/>
        </w:rPr>
        <w:t xml:space="preserve">is the foundation for </w:t>
      </w:r>
      <w:r w:rsidRPr="00E463A0">
        <w:rPr>
          <w:rFonts w:ascii="Century Gothic" w:eastAsia="Century Gothic" w:hAnsi="Century Gothic" w:cs="Century Gothic"/>
          <w:i/>
          <w:iCs/>
        </w:rPr>
        <w:t xml:space="preserve">pitch stability </w:t>
      </w:r>
      <w:r w:rsidRPr="00E463A0">
        <w:rPr>
          <w:rFonts w:ascii="Century Gothic" w:eastAsia="Century Gothic" w:hAnsi="Century Gothic" w:cs="Century Gothic"/>
        </w:rPr>
        <w:t xml:space="preserve">, musical phrase duration, and expressive dynamics, especially in adolescents who tend to hold their breath due to performance anxiety or changes in lung capacity during puberty. Teachers use a visual metronome or simple </w:t>
      </w:r>
      <w:r w:rsidRPr="00E463A0">
        <w:rPr>
          <w:rFonts w:ascii="Century Gothic" w:eastAsia="Century Gothic" w:hAnsi="Century Gothic" w:cs="Century Gothic"/>
          <w:i/>
          <w:iCs/>
        </w:rPr>
        <w:t xml:space="preserve">biofeedback </w:t>
      </w:r>
      <w:r w:rsidRPr="00E463A0">
        <w:rPr>
          <w:rFonts w:ascii="Century Gothic" w:eastAsia="Century Gothic" w:hAnsi="Century Gothic" w:cs="Century Gothic"/>
        </w:rPr>
        <w:t xml:space="preserve">applications to internalize a controlled </w:t>
      </w:r>
      <w:r w:rsidRPr="00E463A0">
        <w:rPr>
          <w:rFonts w:ascii="Century Gothic" w:eastAsia="Century Gothic" w:hAnsi="Century Gothic" w:cs="Century Gothic"/>
          <w:i/>
          <w:iCs/>
        </w:rPr>
        <w:t xml:space="preserve">inhalation-exhalation ratio, while avoiding hyperventilation </w:t>
      </w:r>
      <w:r w:rsidRPr="00E463A0">
        <w:rPr>
          <w:rFonts w:ascii="Century Gothic" w:eastAsia="Century Gothic" w:hAnsi="Century Gothic" w:cs="Century Gothic"/>
        </w:rPr>
        <w:t xml:space="preserve">or excessive </w:t>
      </w:r>
      <w:r w:rsidRPr="00E463A0">
        <w:rPr>
          <w:rFonts w:ascii="Century Gothic" w:eastAsia="Century Gothic" w:hAnsi="Century Gothic" w:cs="Century Gothic"/>
          <w:i/>
          <w:iCs/>
        </w:rPr>
        <w:t xml:space="preserve">subglottic pressure </w:t>
      </w:r>
      <w:r w:rsidRPr="00E463A0">
        <w:rPr>
          <w:rFonts w:ascii="Century Gothic" w:eastAsia="Century Gothic" w:hAnsi="Century Gothic" w:cs="Century Gothic"/>
        </w:rPr>
        <w:t>that can trigger vocal cord friction. At this stage of the exercise, students are given knowledge of the position of the diaphragm through a live demonstration method, so that the teacher and all students can do the exercise together. First, open the feet shoulder-width apart as in the posture exercise, then place both hands on each other's ribs, after which the air is inhaled through the nose and exhaled through the mouth. Students are guided to be able to feel and understand the correct diaphragm development while breathing with the teacher's assistance.</w:t>
      </w:r>
    </w:p>
    <w:p w14:paraId="3E97A0FE" w14:textId="77777777" w:rsidR="00E463A0" w:rsidRPr="00E463A0" w:rsidRDefault="00E463A0" w:rsidP="00E463A0">
      <w:pPr>
        <w:pBdr>
          <w:top w:val="nil"/>
          <w:left w:val="nil"/>
          <w:bottom w:val="nil"/>
          <w:right w:val="nil"/>
          <w:between w:val="nil"/>
        </w:pBdr>
        <w:ind w:left="2268"/>
        <w:jc w:val="both"/>
        <w:rPr>
          <w:rFonts w:ascii="Century Gothic" w:eastAsia="Century Gothic" w:hAnsi="Century Gothic" w:cs="Century Gothic"/>
        </w:rPr>
      </w:pPr>
      <w:r w:rsidRPr="00E463A0">
        <w:rPr>
          <w:rFonts w:ascii="Century Gothic" w:eastAsia="Century Gothic" w:hAnsi="Century Gothic" w:cs="Century Gothic"/>
        </w:rPr>
        <w:t xml:space="preserve">3. Structured Vocal Warm-up ( </w:t>
      </w:r>
      <w:r w:rsidRPr="00E463A0">
        <w:rPr>
          <w:rFonts w:ascii="Century Gothic" w:eastAsia="Century Gothic" w:hAnsi="Century Gothic" w:cs="Century Gothic"/>
          <w:i/>
          <w:iCs/>
        </w:rPr>
        <w:t xml:space="preserve">Progressive Vocalize &amp; Fold Activation </w:t>
      </w:r>
      <w:r w:rsidRPr="00E463A0">
        <w:rPr>
          <w:rFonts w:ascii="Century Gothic" w:eastAsia="Century Gothic" w:hAnsi="Century Gothic" w:cs="Century Gothic"/>
        </w:rPr>
        <w:t>)</w:t>
      </w:r>
    </w:p>
    <w:p w14:paraId="5A081400" w14:textId="77777777" w:rsidR="00E463A0" w:rsidRPr="00E463A0" w:rsidRDefault="00E463A0" w:rsidP="00E463A0">
      <w:pPr>
        <w:pBdr>
          <w:top w:val="nil"/>
          <w:left w:val="nil"/>
          <w:bottom w:val="nil"/>
          <w:right w:val="nil"/>
          <w:between w:val="nil"/>
        </w:pBdr>
        <w:ind w:left="2268"/>
        <w:jc w:val="both"/>
        <w:rPr>
          <w:rFonts w:ascii="Century Gothic" w:eastAsia="Century Gothic" w:hAnsi="Century Gothic" w:cs="Century Gothic"/>
        </w:rPr>
      </w:pPr>
      <w:r w:rsidRPr="00E463A0">
        <w:rPr>
          <w:rFonts w:ascii="Century Gothic" w:eastAsia="Century Gothic" w:hAnsi="Century Gothic" w:cs="Century Gothic"/>
        </w:rPr>
        <w:t xml:space="preserve">The third stage integrates </w:t>
      </w:r>
      <w:r w:rsidRPr="00E463A0">
        <w:rPr>
          <w:rFonts w:ascii="Century Gothic" w:eastAsia="Century Gothic" w:hAnsi="Century Gothic" w:cs="Century Gothic"/>
          <w:i/>
          <w:iCs/>
        </w:rPr>
        <w:t xml:space="preserve">vocalization </w:t>
      </w:r>
      <w:r w:rsidRPr="00E463A0">
        <w:rPr>
          <w:rFonts w:ascii="Century Gothic" w:eastAsia="Century Gothic" w:hAnsi="Century Gothic" w:cs="Century Gothic"/>
        </w:rPr>
        <w:t xml:space="preserve">gradually, starting from low tones with small intervals using closed vowels (u, i) to the middle range with </w:t>
      </w:r>
      <w:r w:rsidRPr="00E463A0">
        <w:rPr>
          <w:rFonts w:ascii="Century Gothic" w:eastAsia="Century Gothic" w:hAnsi="Century Gothic" w:cs="Century Gothic"/>
          <w:i/>
          <w:iCs/>
        </w:rPr>
        <w:t xml:space="preserve">glissando </w:t>
      </w:r>
      <w:r w:rsidRPr="00E463A0">
        <w:rPr>
          <w:rFonts w:ascii="Century Gothic" w:eastAsia="Century Gothic" w:hAnsi="Century Gothic" w:cs="Century Gothic"/>
        </w:rPr>
        <w:t xml:space="preserve">, </w:t>
      </w:r>
      <w:r w:rsidRPr="00E463A0">
        <w:rPr>
          <w:rFonts w:ascii="Century Gothic" w:eastAsia="Century Gothic" w:hAnsi="Century Gothic" w:cs="Century Gothic"/>
          <w:i/>
          <w:iCs/>
        </w:rPr>
        <w:t xml:space="preserve">messa di voce </w:t>
      </w:r>
      <w:r w:rsidRPr="00E463A0">
        <w:rPr>
          <w:rFonts w:ascii="Century Gothic" w:eastAsia="Century Gothic" w:hAnsi="Century Gothic" w:cs="Century Gothic"/>
        </w:rPr>
        <w:t xml:space="preserve">, and </w:t>
      </w:r>
      <w:r w:rsidRPr="00E463A0">
        <w:rPr>
          <w:rFonts w:ascii="Century Gothic" w:eastAsia="Century Gothic" w:hAnsi="Century Gothic" w:cs="Century Gothic"/>
          <w:i/>
          <w:iCs/>
        </w:rPr>
        <w:t xml:space="preserve">staccato-legato patterns </w:t>
      </w:r>
      <w:r w:rsidRPr="00E463A0">
        <w:rPr>
          <w:rFonts w:ascii="Century Gothic" w:eastAsia="Century Gothic" w:hAnsi="Century Gothic" w:cs="Century Gothic"/>
        </w:rPr>
        <w:t xml:space="preserve">. The principle of </w:t>
      </w:r>
      <w:r w:rsidRPr="00E463A0">
        <w:rPr>
          <w:rFonts w:ascii="Century Gothic" w:eastAsia="Century Gothic" w:hAnsi="Century Gothic" w:cs="Century Gothic"/>
          <w:i/>
          <w:iCs/>
        </w:rPr>
        <w:t xml:space="preserve">progressive vocal loading </w:t>
      </w:r>
      <w:r w:rsidRPr="00E463A0">
        <w:rPr>
          <w:rFonts w:ascii="Century Gothic" w:eastAsia="Century Gothic" w:hAnsi="Century Gothic" w:cs="Century Gothic"/>
        </w:rPr>
        <w:t xml:space="preserve">is applied to increase blood circulation in the vocal cords without triggering </w:t>
      </w:r>
      <w:r w:rsidRPr="00E463A0">
        <w:rPr>
          <w:rFonts w:ascii="Century Gothic" w:eastAsia="Century Gothic" w:hAnsi="Century Gothic" w:cs="Century Gothic"/>
          <w:i/>
          <w:iCs/>
        </w:rPr>
        <w:t xml:space="preserve">edema </w:t>
      </w:r>
      <w:r w:rsidRPr="00E463A0">
        <w:rPr>
          <w:rFonts w:ascii="Century Gothic" w:eastAsia="Century Gothic" w:hAnsi="Century Gothic" w:cs="Century Gothic"/>
        </w:rPr>
        <w:t xml:space="preserve">or </w:t>
      </w:r>
      <w:r w:rsidRPr="00E463A0">
        <w:rPr>
          <w:rFonts w:ascii="Century Gothic" w:eastAsia="Century Gothic" w:hAnsi="Century Gothic" w:cs="Century Gothic"/>
          <w:i/>
          <w:iCs/>
        </w:rPr>
        <w:t xml:space="preserve">phonatory fatigue </w:t>
      </w:r>
      <w:r w:rsidRPr="00E463A0">
        <w:rPr>
          <w:rFonts w:ascii="Century Gothic" w:eastAsia="Century Gothic" w:hAnsi="Century Gothic" w:cs="Century Gothic"/>
        </w:rPr>
        <w:t xml:space="preserve">. Studies show that a structured, progressive warm-up pattern can accelerate </w:t>
      </w:r>
      <w:r w:rsidRPr="00E463A0">
        <w:rPr>
          <w:rFonts w:ascii="Century Gothic" w:eastAsia="Century Gothic" w:hAnsi="Century Gothic" w:cs="Century Gothic"/>
          <w:i/>
          <w:iCs/>
        </w:rPr>
        <w:t xml:space="preserve">clean onset </w:t>
      </w:r>
      <w:r w:rsidRPr="00E463A0">
        <w:rPr>
          <w:rFonts w:ascii="Century Gothic" w:eastAsia="Century Gothic" w:hAnsi="Century Gothic" w:cs="Century Gothic"/>
        </w:rPr>
        <w:t xml:space="preserve">, reduce </w:t>
      </w:r>
      <w:r w:rsidRPr="00E463A0">
        <w:rPr>
          <w:rFonts w:ascii="Century Gothic" w:eastAsia="Century Gothic" w:hAnsi="Century Gothic" w:cs="Century Gothic"/>
          <w:i/>
          <w:iCs/>
        </w:rPr>
        <w:t xml:space="preserve">glottic friction </w:t>
      </w:r>
      <w:r w:rsidRPr="00E463A0">
        <w:rPr>
          <w:rFonts w:ascii="Century Gothic" w:eastAsia="Century Gothic" w:hAnsi="Century Gothic" w:cs="Century Gothic"/>
        </w:rPr>
        <w:t xml:space="preserve">, and facilitate smoother register transitions in the voice that is mutating. At SMPN 1 Purwodadi, teachers avoid </w:t>
      </w:r>
      <w:r w:rsidRPr="00E463A0">
        <w:rPr>
          <w:rFonts w:ascii="Century Gothic" w:eastAsia="Century Gothic" w:hAnsi="Century Gothic" w:cs="Century Gothic"/>
          <w:i/>
          <w:iCs/>
        </w:rPr>
        <w:t xml:space="preserve">belting </w:t>
      </w:r>
      <w:r w:rsidRPr="00E463A0">
        <w:rPr>
          <w:rFonts w:ascii="Century Gothic" w:eastAsia="Century Gothic" w:hAnsi="Century Gothic" w:cs="Century Gothic"/>
        </w:rPr>
        <w:t xml:space="preserve">or extreme tone exercises in the initial phase, replacing them with safe mum, ng, and </w:t>
      </w:r>
      <w:r w:rsidRPr="00E463A0">
        <w:rPr>
          <w:rFonts w:ascii="Century Gothic" w:eastAsia="Century Gothic" w:hAnsi="Century Gothic" w:cs="Century Gothic"/>
          <w:i/>
          <w:iCs/>
        </w:rPr>
        <w:t xml:space="preserve">lip trill exercises to </w:t>
      </w:r>
      <w:r w:rsidRPr="00E463A0">
        <w:rPr>
          <w:rFonts w:ascii="Century Gothic" w:eastAsia="Century Gothic" w:hAnsi="Century Gothic" w:cs="Century Gothic"/>
          <w:i/>
          <w:iCs/>
        </w:rPr>
        <w:lastRenderedPageBreak/>
        <w:t xml:space="preserve">physiologically activate the mixed voice register </w:t>
      </w:r>
      <w:r w:rsidRPr="00E463A0">
        <w:rPr>
          <w:rFonts w:ascii="Century Gothic" w:eastAsia="Century Gothic" w:hAnsi="Century Gothic" w:cs="Century Gothic"/>
        </w:rPr>
        <w:t>. Teachers press notes on the keyboard to accustom students to hearing and feeling the sound of the solmissai notes, after which the teacher directs students to voice the notes heard with letters (a, i, u, e, o) or mm, ng, and so on.</w:t>
      </w:r>
    </w:p>
    <w:p w14:paraId="02F43B24" w14:textId="77777777" w:rsidR="00E463A0" w:rsidRPr="00E463A0" w:rsidRDefault="00E463A0" w:rsidP="00E463A0">
      <w:pPr>
        <w:pBdr>
          <w:top w:val="nil"/>
          <w:left w:val="nil"/>
          <w:bottom w:val="nil"/>
          <w:right w:val="nil"/>
          <w:between w:val="nil"/>
        </w:pBdr>
        <w:ind w:left="2268"/>
        <w:jc w:val="both"/>
        <w:rPr>
          <w:rFonts w:ascii="Century Gothic" w:eastAsia="Century Gothic" w:hAnsi="Century Gothic" w:cs="Century Gothic"/>
        </w:rPr>
      </w:pPr>
      <w:r w:rsidRPr="00E463A0">
        <w:rPr>
          <w:rFonts w:ascii="Century Gothic" w:eastAsia="Century Gothic" w:hAnsi="Century Gothic" w:cs="Century Gothic"/>
          <w:i/>
          <w:iCs/>
        </w:rPr>
        <w:t xml:space="preserve">Articulation &amp; Vocal Tract </w:t>
      </w:r>
      <w:r w:rsidRPr="00E463A0">
        <w:rPr>
          <w:rFonts w:ascii="Century Gothic" w:eastAsia="Century Gothic" w:hAnsi="Century Gothic" w:cs="Century Gothic"/>
        </w:rPr>
        <w:t>Shaping Exercises</w:t>
      </w:r>
    </w:p>
    <w:p w14:paraId="6E8D8035" w14:textId="77777777" w:rsidR="00E463A0" w:rsidRPr="00E463A0" w:rsidRDefault="00E463A0" w:rsidP="00E463A0">
      <w:pPr>
        <w:pBdr>
          <w:top w:val="nil"/>
          <w:left w:val="nil"/>
          <w:bottom w:val="nil"/>
          <w:right w:val="nil"/>
          <w:between w:val="nil"/>
        </w:pBdr>
        <w:ind w:left="2268"/>
        <w:jc w:val="both"/>
        <w:rPr>
          <w:rFonts w:ascii="Century Gothic" w:eastAsia="Century Gothic" w:hAnsi="Century Gothic" w:cs="Century Gothic"/>
        </w:rPr>
      </w:pPr>
      <w:r w:rsidRPr="00E463A0">
        <w:rPr>
          <w:rFonts w:ascii="Century Gothic" w:eastAsia="Century Gothic" w:hAnsi="Century Gothic" w:cs="Century Gothic"/>
        </w:rPr>
        <w:t xml:space="preserve">Once the phonation mechanism is stable, the focus shifts to articulation clarity and vocal tract </w:t>
      </w:r>
      <w:r w:rsidRPr="00E463A0">
        <w:rPr>
          <w:rFonts w:ascii="Century Gothic" w:eastAsia="Century Gothic" w:hAnsi="Century Gothic" w:cs="Century Gothic"/>
          <w:i/>
          <w:iCs/>
        </w:rPr>
        <w:t xml:space="preserve">configuration optimization </w:t>
      </w:r>
      <w:r w:rsidRPr="00E463A0">
        <w:rPr>
          <w:rFonts w:ascii="Century Gothic" w:eastAsia="Century Gothic" w:hAnsi="Century Gothic" w:cs="Century Gothic"/>
        </w:rPr>
        <w:t xml:space="preserve">. Consonant (p, t, k) and open vowel (a, o) exercises are combined with jaw relaxation, neutral tongue placement, and mild laryngeal descent to prevent pharyngeal constriction. The teacher uses a </w:t>
      </w:r>
      <w:r w:rsidRPr="00E463A0">
        <w:rPr>
          <w:rFonts w:ascii="Century Gothic" w:eastAsia="Century Gothic" w:hAnsi="Century Gothic" w:cs="Century Gothic"/>
          <w:i/>
          <w:iCs/>
        </w:rPr>
        <w:t xml:space="preserve">speech-to-song transition technique </w:t>
      </w:r>
      <w:r w:rsidRPr="00E463A0">
        <w:rPr>
          <w:rFonts w:ascii="Century Gothic" w:eastAsia="Century Gothic" w:hAnsi="Century Gothic" w:cs="Century Gothic"/>
        </w:rPr>
        <w:t xml:space="preserve">to help students transfer speech clarity into musical vocal production without changing the natural resonance configuration, so that diction remains </w:t>
      </w:r>
      <w:r w:rsidRPr="00E463A0">
        <w:rPr>
          <w:rFonts w:ascii="Century Gothic" w:eastAsia="Century Gothic" w:hAnsi="Century Gothic" w:cs="Century Gothic"/>
          <w:i/>
          <w:iCs/>
        </w:rPr>
        <w:t xml:space="preserve">intelligible </w:t>
      </w:r>
      <w:r w:rsidRPr="00E463A0">
        <w:rPr>
          <w:rFonts w:ascii="Century Gothic" w:eastAsia="Century Gothic" w:hAnsi="Century Gothic" w:cs="Century Gothic"/>
        </w:rPr>
        <w:t>even in tight harmony. The teacher uses the song "Indonesia Jaya" according to the 9th grade junior high school student handbook to practice correct articulation and intonation.</w:t>
      </w:r>
    </w:p>
    <w:p w14:paraId="457C70EF" w14:textId="77777777" w:rsidR="00E463A0" w:rsidRPr="00E463A0" w:rsidRDefault="00E463A0" w:rsidP="00E463A0">
      <w:pPr>
        <w:pBdr>
          <w:top w:val="nil"/>
          <w:left w:val="nil"/>
          <w:bottom w:val="nil"/>
          <w:right w:val="nil"/>
          <w:between w:val="nil"/>
        </w:pBdr>
        <w:ind w:left="2268"/>
        <w:jc w:val="both"/>
        <w:rPr>
          <w:rFonts w:ascii="Century Gothic" w:eastAsia="Century Gothic" w:hAnsi="Century Gothic" w:cs="Century Gothic"/>
        </w:rPr>
      </w:pPr>
      <w:r w:rsidRPr="00E463A0">
        <w:rPr>
          <w:rFonts w:ascii="Century Gothic" w:eastAsia="Century Gothic" w:hAnsi="Century Gothic" w:cs="Century Gothic"/>
        </w:rPr>
        <w:t xml:space="preserve">5. Resonance Placement &amp; Group </w:t>
      </w:r>
      <w:r w:rsidRPr="00E463A0">
        <w:rPr>
          <w:rFonts w:ascii="Century Gothic" w:eastAsia="Century Gothic" w:hAnsi="Century Gothic" w:cs="Century Gothic"/>
          <w:i/>
          <w:iCs/>
        </w:rPr>
        <w:t>Blend</w:t>
      </w:r>
    </w:p>
    <w:p w14:paraId="41485FDE" w14:textId="77777777" w:rsidR="00E463A0" w:rsidRPr="00E463A0" w:rsidRDefault="00E463A0" w:rsidP="00E463A0">
      <w:pPr>
        <w:pBdr>
          <w:top w:val="nil"/>
          <w:left w:val="nil"/>
          <w:bottom w:val="nil"/>
          <w:right w:val="nil"/>
          <w:between w:val="nil"/>
        </w:pBdr>
        <w:ind w:left="2268"/>
        <w:jc w:val="both"/>
        <w:rPr>
          <w:rFonts w:ascii="Century Gothic" w:eastAsia="Century Gothic" w:hAnsi="Century Gothic" w:cs="Century Gothic"/>
        </w:rPr>
      </w:pPr>
      <w:r w:rsidRPr="00E463A0">
        <w:rPr>
          <w:rFonts w:ascii="Century Gothic" w:eastAsia="Century Gothic" w:hAnsi="Century Gothic" w:cs="Century Gothic"/>
        </w:rPr>
        <w:t xml:space="preserve">The final stage introduces </w:t>
      </w:r>
      <w:r w:rsidRPr="00E463A0">
        <w:rPr>
          <w:rFonts w:ascii="Century Gothic" w:eastAsia="Century Gothic" w:hAnsi="Century Gothic" w:cs="Century Gothic"/>
          <w:i/>
          <w:iCs/>
        </w:rPr>
        <w:t xml:space="preserve">forward placement/mask resonance </w:t>
      </w:r>
      <w:r w:rsidRPr="00E463A0">
        <w:rPr>
          <w:rFonts w:ascii="Century Gothic" w:eastAsia="Century Gothic" w:hAnsi="Century Gothic" w:cs="Century Gothic"/>
        </w:rPr>
        <w:t xml:space="preserve">and vocal alignment in </w:t>
      </w:r>
      <w:r w:rsidRPr="00E463A0">
        <w:rPr>
          <w:rFonts w:ascii="Century Gothic" w:eastAsia="Century Gothic" w:hAnsi="Century Gothic" w:cs="Century Gothic"/>
          <w:i/>
          <w:iCs/>
        </w:rPr>
        <w:t xml:space="preserve">a vocal group context </w:t>
      </w:r>
      <w:r w:rsidRPr="00E463A0">
        <w:rPr>
          <w:rFonts w:ascii="Century Gothic" w:eastAsia="Century Gothic" w:hAnsi="Century Gothic" w:cs="Century Gothic"/>
        </w:rPr>
        <w:t xml:space="preserve">. Students are trained to direct vibrations to the front resonance area through m, n, and z exercises, then integrate them with the principles of </w:t>
      </w:r>
      <w:r w:rsidRPr="00E463A0">
        <w:rPr>
          <w:rFonts w:ascii="Century Gothic" w:eastAsia="Century Gothic" w:hAnsi="Century Gothic" w:cs="Century Gothic"/>
          <w:i/>
          <w:iCs/>
        </w:rPr>
        <w:t xml:space="preserve">blend </w:t>
      </w:r>
      <w:r w:rsidRPr="00E463A0">
        <w:rPr>
          <w:rFonts w:ascii="Century Gothic" w:eastAsia="Century Gothic" w:hAnsi="Century Gothic" w:cs="Century Gothic"/>
        </w:rPr>
        <w:t xml:space="preserve">, </w:t>
      </w:r>
      <w:r w:rsidRPr="00E463A0">
        <w:rPr>
          <w:rFonts w:ascii="Century Gothic" w:eastAsia="Century Gothic" w:hAnsi="Century Gothic" w:cs="Century Gothic"/>
          <w:i/>
          <w:iCs/>
        </w:rPr>
        <w:t xml:space="preserve">balance </w:t>
      </w:r>
      <w:r w:rsidRPr="00E463A0">
        <w:rPr>
          <w:rFonts w:ascii="Century Gothic" w:eastAsia="Century Gothic" w:hAnsi="Century Gothic" w:cs="Century Gothic"/>
        </w:rPr>
        <w:t xml:space="preserve">, and timbre adjustment. In a group setting, individual volume regulation, intonation alignment, and vibrato synchronization require mature </w:t>
      </w:r>
      <w:r w:rsidRPr="00E463A0">
        <w:rPr>
          <w:rFonts w:ascii="Century Gothic" w:eastAsia="Century Gothic" w:hAnsi="Century Gothic" w:cs="Century Gothic"/>
          <w:i/>
          <w:iCs/>
        </w:rPr>
        <w:t xml:space="preserve">active listening skills </w:t>
      </w:r>
      <w:r w:rsidRPr="00E463A0">
        <w:rPr>
          <w:rFonts w:ascii="Century Gothic" w:eastAsia="Century Gothic" w:hAnsi="Century Gothic" w:cs="Century Gothic"/>
        </w:rPr>
        <w:t xml:space="preserve">and self-regulation. At this level, vocal technique is no longer individual, but rather becomes a collaborative instrument that requires collective awareness of harmonic structures. At this stage, students are required to listen to and respect each other as group members harmonize their pitches to create harmony. The </w:t>
      </w:r>
      <w:r w:rsidRPr="00E463A0">
        <w:rPr>
          <w:rFonts w:ascii="Century Gothic" w:eastAsia="Century Gothic" w:hAnsi="Century Gothic" w:cs="Century Gothic"/>
          <w:i/>
          <w:iCs/>
        </w:rPr>
        <w:t xml:space="preserve">vocal health </w:t>
      </w:r>
      <w:r>
        <w:rPr>
          <w:rFonts w:ascii="Century Gothic" w:eastAsia="Century Gothic" w:hAnsi="Century Gothic" w:cs="Century Gothic"/>
        </w:rPr>
        <w:t xml:space="preserve">stage </w:t>
      </w:r>
      <w:r w:rsidRPr="00E463A0">
        <w:rPr>
          <w:rFonts w:ascii="Century Gothic" w:eastAsia="Century Gothic" w:hAnsi="Century Gothic" w:cs="Century Gothic"/>
        </w:rPr>
        <w:t xml:space="preserve">in vocal technique learning planning does not merely function as an administrative complement, but rather becomes a foundation and operation that mainstreams the sustainability of students' laryngeal function. In the planning context, this principle is translated into a teaching module structure that explicitly </w:t>
      </w:r>
      <w:r w:rsidRPr="00E463A0">
        <w:rPr>
          <w:rFonts w:ascii="Century Gothic" w:eastAsia="Century Gothic" w:hAnsi="Century Gothic" w:cs="Century Gothic"/>
          <w:i/>
          <w:iCs/>
        </w:rPr>
        <w:t xml:space="preserve">includes </w:t>
      </w:r>
      <w:r w:rsidRPr="00E463A0">
        <w:rPr>
          <w:rFonts w:ascii="Century Gothic" w:eastAsia="Century Gothic" w:hAnsi="Century Gothic" w:cs="Century Gothic"/>
        </w:rPr>
        <w:t xml:space="preserve">protocols for preventing vocal injuries, education on vocal hygiene, and adjustment of phonation load according to the adolescent's developmental phase. Therefore, teachers at SMPN 1 Purwodadi designed a special time allocation for </w:t>
      </w:r>
      <w:r w:rsidRPr="00E463A0">
        <w:rPr>
          <w:rFonts w:ascii="Century Gothic" w:eastAsia="Century Gothic" w:hAnsi="Century Gothic" w:cs="Century Gothic"/>
          <w:i/>
          <w:iCs/>
        </w:rPr>
        <w:t xml:space="preserve">vocal warm-up </w:t>
      </w:r>
      <w:r w:rsidRPr="00E463A0">
        <w:rPr>
          <w:rFonts w:ascii="Century Gothic" w:eastAsia="Century Gothic" w:hAnsi="Century Gothic" w:cs="Century Gothic"/>
        </w:rPr>
        <w:t xml:space="preserve">and </w:t>
      </w:r>
      <w:r w:rsidRPr="00E463A0">
        <w:rPr>
          <w:rFonts w:ascii="Century Gothic" w:eastAsia="Century Gothic" w:hAnsi="Century Gothic" w:cs="Century Gothic"/>
          <w:i/>
          <w:iCs/>
        </w:rPr>
        <w:t xml:space="preserve">cool-down </w:t>
      </w:r>
      <w:r w:rsidRPr="00E463A0">
        <w:rPr>
          <w:rFonts w:ascii="Century Gothic" w:eastAsia="Century Gothic" w:hAnsi="Century Gothic" w:cs="Century Gothic"/>
        </w:rPr>
        <w:t>, set safe limits for the duration of intensive practice, and avoided repertoire that forced students to sing outside their physiological range.</w:t>
      </w:r>
    </w:p>
    <w:p w14:paraId="1092907B" w14:textId="77777777" w:rsidR="00E463A0" w:rsidRPr="00E463A0" w:rsidRDefault="00E463A0" w:rsidP="00E463A0">
      <w:pPr>
        <w:pBdr>
          <w:top w:val="nil"/>
          <w:left w:val="nil"/>
          <w:bottom w:val="nil"/>
          <w:right w:val="nil"/>
          <w:between w:val="nil"/>
        </w:pBdr>
        <w:ind w:left="2268"/>
        <w:jc w:val="both"/>
        <w:rPr>
          <w:rFonts w:ascii="Century Gothic" w:eastAsia="Century Gothic" w:hAnsi="Century Gothic" w:cs="Century Gothic"/>
        </w:rPr>
      </w:pPr>
      <w:r w:rsidRPr="00E463A0">
        <w:rPr>
          <w:rFonts w:ascii="Century Gothic" w:eastAsia="Century Gothic" w:hAnsi="Century Gothic" w:cs="Century Gothic"/>
        </w:rPr>
        <w:t xml:space="preserve">Physiological considerations are the primary foundation of this planning, given that 9th-grade students are at the peak of their vocal development, characterized by thickening of </w:t>
      </w:r>
      <w:r w:rsidRPr="00E463A0">
        <w:rPr>
          <w:rFonts w:ascii="Century Gothic" w:eastAsia="Century Gothic" w:hAnsi="Century Gothic" w:cs="Century Gothic"/>
          <w:i/>
          <w:iCs/>
        </w:rPr>
        <w:t xml:space="preserve">the lamina propria , changes in thyroarytenoid </w:t>
      </w:r>
      <w:r w:rsidRPr="00E463A0">
        <w:rPr>
          <w:rFonts w:ascii="Century Gothic" w:eastAsia="Century Gothic" w:hAnsi="Century Gothic" w:cs="Century Gothic"/>
        </w:rPr>
        <w:t xml:space="preserve">muscle mass , and instability of </w:t>
      </w:r>
      <w:r w:rsidRPr="00E463A0">
        <w:rPr>
          <w:rFonts w:ascii="Century Gothic" w:eastAsia="Century Gothic" w:hAnsi="Century Gothic" w:cs="Century Gothic"/>
          <w:i/>
          <w:iCs/>
        </w:rPr>
        <w:t xml:space="preserve">neuromuscular control </w:t>
      </w:r>
      <w:r w:rsidRPr="00E463A0">
        <w:rPr>
          <w:rFonts w:ascii="Century Gothic" w:eastAsia="Century Gothic" w:hAnsi="Century Gothic" w:cs="Century Gothic"/>
        </w:rPr>
        <w:t xml:space="preserve">of the vocal folds. Pubertal hormonal changes also affect laryngeal </w:t>
      </w:r>
      <w:r w:rsidRPr="00E463A0">
        <w:rPr>
          <w:rFonts w:ascii="Century Gothic" w:eastAsia="Century Gothic" w:hAnsi="Century Gothic" w:cs="Century Gothic"/>
          <w:i/>
          <w:iCs/>
        </w:rPr>
        <w:t xml:space="preserve">mucosal hydration </w:t>
      </w:r>
      <w:r w:rsidRPr="00E463A0">
        <w:rPr>
          <w:rFonts w:ascii="Century Gothic" w:eastAsia="Century Gothic" w:hAnsi="Century Gothic" w:cs="Century Gothic"/>
        </w:rPr>
        <w:t xml:space="preserve">, increasing susceptibility to </w:t>
      </w:r>
      <w:r w:rsidRPr="00E463A0">
        <w:rPr>
          <w:rFonts w:ascii="Century Gothic" w:eastAsia="Century Gothic" w:hAnsi="Century Gothic" w:cs="Century Gothic"/>
          <w:i/>
          <w:iCs/>
        </w:rPr>
        <w:t xml:space="preserve">glottic friction </w:t>
      </w:r>
      <w:r w:rsidRPr="00E463A0">
        <w:rPr>
          <w:rFonts w:ascii="Century Gothic" w:eastAsia="Century Gothic" w:hAnsi="Century Gothic" w:cs="Century Gothic"/>
        </w:rPr>
        <w:t xml:space="preserve">and </w:t>
      </w:r>
      <w:r w:rsidRPr="00E463A0">
        <w:rPr>
          <w:rFonts w:ascii="Century Gothic" w:eastAsia="Century Gothic" w:hAnsi="Century Gothic" w:cs="Century Gothic"/>
          <w:i/>
          <w:iCs/>
        </w:rPr>
        <w:t xml:space="preserve">phonatory fatigue </w:t>
      </w:r>
      <w:r w:rsidRPr="00E463A0">
        <w:rPr>
          <w:rFonts w:ascii="Century Gothic" w:eastAsia="Century Gothic" w:hAnsi="Century Gothic" w:cs="Century Gothic"/>
        </w:rPr>
        <w:t xml:space="preserve">. Research suggests that lesson plans that ignore these physiological variables risk triggering compensatory habits such as neck hypertension, excessive laryngeal compression, or forced use of the chest register, which can develop into vocal nodules or polyps later in life. Psychologically, the pressure to achieve aesthetic goals or prepare for performances often triggers performance anxiety, which indirectly increases </w:t>
      </w:r>
      <w:r w:rsidRPr="00E463A0">
        <w:rPr>
          <w:rFonts w:ascii="Century Gothic" w:eastAsia="Century Gothic" w:hAnsi="Century Gothic" w:cs="Century Gothic"/>
          <w:i/>
          <w:iCs/>
        </w:rPr>
        <w:t xml:space="preserve">phonatory muscle tension. Integrating vocal health </w:t>
      </w:r>
      <w:r w:rsidRPr="00E463A0">
        <w:rPr>
          <w:rFonts w:ascii="Century Gothic" w:eastAsia="Century Gothic" w:hAnsi="Century Gothic" w:cs="Century Gothic"/>
        </w:rPr>
        <w:t xml:space="preserve">principles into planning aims to break </w:t>
      </w:r>
      <w:r w:rsidRPr="00E463A0">
        <w:rPr>
          <w:rFonts w:ascii="Century Gothic" w:eastAsia="Century Gothic" w:hAnsi="Century Gothic" w:cs="Century Gothic"/>
        </w:rPr>
        <w:lastRenderedPageBreak/>
        <w:t>this cycle by creating a safe, non-competitive learning environment based on an understanding of the student's biology.</w:t>
      </w:r>
    </w:p>
    <w:p w14:paraId="61BD8770" w14:textId="77777777" w:rsidR="00E463A0" w:rsidRPr="00E463A0" w:rsidRDefault="00E463A0" w:rsidP="00E463A0">
      <w:pPr>
        <w:pBdr>
          <w:top w:val="nil"/>
          <w:left w:val="nil"/>
          <w:bottom w:val="nil"/>
          <w:right w:val="nil"/>
          <w:between w:val="nil"/>
        </w:pBdr>
        <w:ind w:left="2268"/>
        <w:jc w:val="both"/>
        <w:rPr>
          <w:rFonts w:ascii="Century Gothic" w:eastAsia="Century Gothic" w:hAnsi="Century Gothic" w:cs="Century Gothic"/>
        </w:rPr>
      </w:pPr>
      <w:r w:rsidRPr="00E463A0">
        <w:rPr>
          <w:rFonts w:ascii="Century Gothic" w:eastAsia="Century Gothic" w:hAnsi="Century Gothic" w:cs="Century Gothic"/>
        </w:rPr>
        <w:t xml:space="preserve">Operationally, the </w:t>
      </w:r>
      <w:r w:rsidRPr="00E463A0">
        <w:rPr>
          <w:rFonts w:ascii="Century Gothic" w:eastAsia="Century Gothic" w:hAnsi="Century Gothic" w:cs="Century Gothic"/>
          <w:i/>
          <w:iCs/>
        </w:rPr>
        <w:t xml:space="preserve">vocal health stage </w:t>
      </w:r>
      <w:r w:rsidRPr="00E463A0">
        <w:rPr>
          <w:rFonts w:ascii="Century Gothic" w:eastAsia="Century Gothic" w:hAnsi="Century Gothic" w:cs="Century Gothic"/>
        </w:rPr>
        <w:t xml:space="preserve">is realized through a series of structured protocols in the planning document. First, the teacher compiles a vocal readiness </w:t>
      </w:r>
      <w:r w:rsidRPr="00E463A0">
        <w:rPr>
          <w:rFonts w:ascii="Century Gothic" w:eastAsia="Century Gothic" w:hAnsi="Century Gothic" w:cs="Century Gothic"/>
          <w:i/>
          <w:iCs/>
        </w:rPr>
        <w:t xml:space="preserve">checklist </w:t>
      </w:r>
      <w:r w:rsidRPr="00E463A0">
        <w:rPr>
          <w:rFonts w:ascii="Century Gothic" w:eastAsia="Century Gothic" w:hAnsi="Century Gothic" w:cs="Century Gothic"/>
        </w:rPr>
        <w:t xml:space="preserve">that includes hydration, voice rest, and early detection of hoarseness or pain symptoms before practice begins. Second, the practice material is designed with the principle of </w:t>
      </w:r>
      <w:r w:rsidRPr="00E463A0">
        <w:rPr>
          <w:rFonts w:ascii="Century Gothic" w:eastAsia="Century Gothic" w:hAnsi="Century Gothic" w:cs="Century Gothic"/>
          <w:i/>
          <w:iCs/>
        </w:rPr>
        <w:t xml:space="preserve">progressive vocal loading </w:t>
      </w:r>
      <w:r w:rsidRPr="00E463A0">
        <w:rPr>
          <w:rFonts w:ascii="Century Gothic" w:eastAsia="Century Gothic" w:hAnsi="Century Gothic" w:cs="Century Gothic"/>
        </w:rPr>
        <w:t xml:space="preserve">, where the intensity, duration, and complexity of phonation are gradually increased, accompanied by an active recovery phase through relaxation and </w:t>
      </w:r>
      <w:r w:rsidRPr="00E463A0">
        <w:rPr>
          <w:rFonts w:ascii="Century Gothic" w:eastAsia="Century Gothic" w:hAnsi="Century Gothic" w:cs="Century Gothic"/>
          <w:i/>
          <w:iCs/>
        </w:rPr>
        <w:t xml:space="preserve">humming exercises </w:t>
      </w:r>
      <w:r w:rsidRPr="00E463A0">
        <w:rPr>
          <w:rFonts w:ascii="Century Gothic" w:eastAsia="Century Gothic" w:hAnsi="Century Gothic" w:cs="Century Gothic"/>
        </w:rPr>
        <w:t xml:space="preserve">. Third, the teacher integrates simple vocal anatomy literacy into the lesson plan, so that students understand the mechanisms of voice production and can report complaints independently. In addition, the planning also includes repertoire diversification that emphasizes </w:t>
      </w:r>
      <w:r w:rsidRPr="00E463A0">
        <w:rPr>
          <w:rFonts w:ascii="Century Gothic" w:eastAsia="Century Gothic" w:hAnsi="Century Gothic" w:cs="Century Gothic"/>
          <w:i/>
          <w:iCs/>
        </w:rPr>
        <w:t xml:space="preserve">mixed voice </w:t>
      </w:r>
      <w:r w:rsidRPr="00E463A0">
        <w:rPr>
          <w:rFonts w:ascii="Century Gothic" w:eastAsia="Century Gothic" w:hAnsi="Century Gothic" w:cs="Century Gothic"/>
        </w:rPr>
        <w:t xml:space="preserve">and </w:t>
      </w:r>
      <w:r w:rsidRPr="00E463A0">
        <w:rPr>
          <w:rFonts w:ascii="Century Gothic" w:eastAsia="Century Gothic" w:hAnsi="Century Gothic" w:cs="Century Gothic"/>
          <w:i/>
          <w:iCs/>
        </w:rPr>
        <w:t xml:space="preserve">head resonance techniques </w:t>
      </w:r>
      <w:r w:rsidRPr="00E463A0">
        <w:rPr>
          <w:rFonts w:ascii="Century Gothic" w:eastAsia="Century Gothic" w:hAnsi="Century Gothic" w:cs="Century Gothic"/>
        </w:rPr>
        <w:t xml:space="preserve">, avoids excessive </w:t>
      </w:r>
      <w:r w:rsidRPr="00E463A0">
        <w:rPr>
          <w:rFonts w:ascii="Century Gothic" w:eastAsia="Century Gothic" w:hAnsi="Century Gothic" w:cs="Century Gothic"/>
          <w:i/>
          <w:iCs/>
        </w:rPr>
        <w:t xml:space="preserve">belting </w:t>
      </w:r>
      <w:r w:rsidRPr="00E463A0">
        <w:rPr>
          <w:rFonts w:ascii="Century Gothic" w:eastAsia="Century Gothic" w:hAnsi="Century Gothic" w:cs="Century Gothic"/>
        </w:rPr>
        <w:t xml:space="preserve">, and utilizes pitch transposition that suits the voice conditions of each part in </w:t>
      </w:r>
      <w:r w:rsidRPr="00E463A0">
        <w:rPr>
          <w:rFonts w:ascii="Century Gothic" w:eastAsia="Century Gothic" w:hAnsi="Century Gothic" w:cs="Century Gothic"/>
          <w:i/>
          <w:iCs/>
        </w:rPr>
        <w:t xml:space="preserve">the vocal group </w:t>
      </w:r>
      <w:r w:rsidRPr="00E463A0">
        <w:rPr>
          <w:rFonts w:ascii="Century Gothic" w:eastAsia="Century Gothic" w:hAnsi="Century Gothic" w:cs="Century Gothic"/>
        </w:rPr>
        <w:t>.</w:t>
      </w:r>
    </w:p>
    <w:p w14:paraId="3F01BBD7" w14:textId="77777777" w:rsidR="00E463A0" w:rsidRPr="00E463A0" w:rsidRDefault="00E463A0" w:rsidP="00E463A0">
      <w:pPr>
        <w:pBdr>
          <w:top w:val="nil"/>
          <w:left w:val="nil"/>
          <w:bottom w:val="nil"/>
          <w:right w:val="nil"/>
          <w:between w:val="nil"/>
        </w:pBdr>
        <w:ind w:left="2268"/>
        <w:jc w:val="both"/>
        <w:rPr>
          <w:rFonts w:ascii="Century Gothic" w:eastAsia="Century Gothic" w:hAnsi="Century Gothic" w:cs="Century Gothic"/>
        </w:rPr>
      </w:pPr>
      <w:r w:rsidRPr="00E463A0">
        <w:rPr>
          <w:rFonts w:ascii="Century Gothic" w:eastAsia="Century Gothic" w:hAnsi="Century Gothic" w:cs="Century Gothic"/>
          <w:i/>
          <w:iCs/>
        </w:rPr>
        <w:t xml:space="preserve">Vocal health- </w:t>
      </w:r>
      <w:r w:rsidRPr="00E463A0">
        <w:rPr>
          <w:rFonts w:ascii="Century Gothic" w:eastAsia="Century Gothic" w:hAnsi="Century Gothic" w:cs="Century Gothic"/>
        </w:rPr>
        <w:t xml:space="preserve">centered planning also requires ongoing monitoring and feedback mechanisms, not just product-based final evaluations. Teachers design formative observation instruments that record posture, breathing, articulation clarity, and signs of muscle compensation, which then serve as the basis for real- </w:t>
      </w:r>
      <w:r w:rsidRPr="00E463A0">
        <w:rPr>
          <w:rFonts w:ascii="Century Gothic" w:eastAsia="Century Gothic" w:hAnsi="Century Gothic" w:cs="Century Gothic"/>
          <w:i/>
          <w:iCs/>
        </w:rPr>
        <w:t xml:space="preserve">time adjustments to learning strategies </w:t>
      </w:r>
      <w:r w:rsidRPr="00E463A0">
        <w:rPr>
          <w:rFonts w:ascii="Century Gothic" w:eastAsia="Century Gothic" w:hAnsi="Century Gothic" w:cs="Century Gothic"/>
        </w:rPr>
        <w:t xml:space="preserve">. This approach reflects a paradigm shift from conventional teaching models oriented toward performance outcomes to pedagogical models that emphasize safe and sustainable phonation processes. In the post-pandemic context, where students' vocal habits tend to be unstructured due to online learning, planning that integrates </w:t>
      </w:r>
      <w:r w:rsidRPr="00E463A0">
        <w:rPr>
          <w:rFonts w:ascii="Century Gothic" w:eastAsia="Century Gothic" w:hAnsi="Century Gothic" w:cs="Century Gothic"/>
          <w:i/>
          <w:iCs/>
        </w:rPr>
        <w:t xml:space="preserve">vocal health </w:t>
      </w:r>
      <w:r w:rsidRPr="00E463A0">
        <w:rPr>
          <w:rFonts w:ascii="Century Gothic" w:eastAsia="Century Gothic" w:hAnsi="Century Gothic" w:cs="Century Gothic"/>
        </w:rPr>
        <w:t xml:space="preserve">serves as a framework for functional recovery while preventing technique regression. Thus, the </w:t>
      </w:r>
      <w:r w:rsidRPr="00E463A0">
        <w:rPr>
          <w:rFonts w:ascii="Century Gothic" w:eastAsia="Century Gothic" w:hAnsi="Century Gothic" w:cs="Century Gothic"/>
          <w:i/>
          <w:iCs/>
        </w:rPr>
        <w:t xml:space="preserve">vocal health phase </w:t>
      </w:r>
      <w:r w:rsidRPr="00E463A0">
        <w:rPr>
          <w:rFonts w:ascii="Century Gothic" w:eastAsia="Century Gothic" w:hAnsi="Century Gothic" w:cs="Century Gothic"/>
        </w:rPr>
        <w:t>is not an additional element, but rather the pivot that ties together all components of vocal technique learning planning, ensuring that aesthetic achievements do not compromise students' physiological integrity.</w:t>
      </w:r>
    </w:p>
    <w:p w14:paraId="1265C203" w14:textId="408FED04" w:rsidR="00E463A0" w:rsidRPr="00E463A0" w:rsidRDefault="00E463A0" w:rsidP="00E463A0">
      <w:pPr>
        <w:pBdr>
          <w:top w:val="nil"/>
          <w:left w:val="nil"/>
          <w:bottom w:val="nil"/>
          <w:right w:val="nil"/>
          <w:between w:val="nil"/>
        </w:pBdr>
        <w:ind w:left="2268"/>
        <w:jc w:val="both"/>
        <w:rPr>
          <w:rFonts w:ascii="Century Gothic" w:eastAsia="Century Gothic" w:hAnsi="Century Gothic" w:cs="Century Gothic"/>
        </w:rPr>
      </w:pPr>
    </w:p>
    <w:p w14:paraId="56E56705" w14:textId="64D0B1F2" w:rsidR="006326C5" w:rsidRDefault="006326C5" w:rsidP="00EB5C5E">
      <w:pPr>
        <w:pBdr>
          <w:top w:val="nil"/>
          <w:left w:val="nil"/>
          <w:bottom w:val="nil"/>
          <w:right w:val="nil"/>
          <w:between w:val="nil"/>
        </w:pBdr>
        <w:ind w:left="2268"/>
        <w:jc w:val="both"/>
        <w:rPr>
          <w:rFonts w:ascii="Century Gothic" w:eastAsia="Century Gothic" w:hAnsi="Century Gothic" w:cs="Century Gothic"/>
        </w:rPr>
      </w:pPr>
    </w:p>
    <w:p w14:paraId="39AE154A" w14:textId="77777777" w:rsidR="006326C5" w:rsidRDefault="006326C5">
      <w:pPr>
        <w:pBdr>
          <w:top w:val="nil"/>
          <w:left w:val="nil"/>
          <w:bottom w:val="nil"/>
          <w:right w:val="nil"/>
          <w:between w:val="nil"/>
        </w:pBdr>
        <w:tabs>
          <w:tab w:val="left" w:pos="425"/>
        </w:tabs>
        <w:jc w:val="both"/>
        <w:rPr>
          <w:rFonts w:ascii="Century Gothic" w:eastAsia="Century Gothic" w:hAnsi="Century Gothic" w:cs="Century Gothic"/>
          <w:color w:val="000000"/>
          <w:sz w:val="22"/>
          <w:szCs w:val="22"/>
        </w:rPr>
        <w:sectPr w:rsidR="006326C5">
          <w:type w:val="continuous"/>
          <w:pgSz w:w="11907" w:h="16840"/>
          <w:pgMar w:top="1440" w:right="1440" w:bottom="1440" w:left="1440" w:header="142" w:footer="720" w:gutter="0"/>
          <w:cols w:space="720"/>
        </w:sectPr>
      </w:pPr>
    </w:p>
    <w:p w14:paraId="667395FE" w14:textId="5E8B7738" w:rsidR="006326C5" w:rsidRDefault="006326C5">
      <w:pPr>
        <w:keepNext/>
        <w:pBdr>
          <w:top w:val="nil"/>
          <w:left w:val="nil"/>
          <w:bottom w:val="nil"/>
          <w:right w:val="nil"/>
          <w:between w:val="nil"/>
        </w:pBdr>
        <w:ind w:left="2268"/>
        <w:jc w:val="both"/>
        <w:rPr>
          <w:rFonts w:ascii="Century Gothic" w:eastAsia="Century Gothic" w:hAnsi="Century Gothic" w:cs="Century Gothic"/>
          <w:color w:val="000000"/>
          <w:sz w:val="24"/>
          <w:szCs w:val="24"/>
        </w:rPr>
      </w:pPr>
    </w:p>
    <w:p w14:paraId="7CDC1FE4" w14:textId="77777777" w:rsidR="006326C5" w:rsidRDefault="006326C5">
      <w:pPr>
        <w:pBdr>
          <w:top w:val="nil"/>
          <w:left w:val="nil"/>
          <w:bottom w:val="nil"/>
          <w:right w:val="nil"/>
          <w:between w:val="nil"/>
        </w:pBdr>
        <w:spacing w:before="120" w:after="120"/>
        <w:ind w:left="2268"/>
        <w:rPr>
          <w:rFonts w:ascii="Century Gothic" w:eastAsia="Century Gothic" w:hAnsi="Century Gothic" w:cs="Century Gothic"/>
          <w:color w:val="000000"/>
          <w:sz w:val="18"/>
          <w:szCs w:val="18"/>
        </w:rPr>
      </w:pPr>
    </w:p>
    <w:p w14:paraId="23C077EC" w14:textId="77777777" w:rsidR="006326C5" w:rsidRDefault="00BF261B">
      <w:pPr>
        <w:pStyle w:val="Heading1"/>
        <w:spacing w:before="120" w:after="120"/>
        <w:ind w:left="0" w:hanging="2"/>
        <w:rPr>
          <w:rFonts w:ascii="Century Gothic" w:eastAsia="Century Gothic" w:hAnsi="Century Gothic" w:cs="Century Gothic"/>
          <w:sz w:val="22"/>
          <w:szCs w:val="22"/>
        </w:rPr>
      </w:pPr>
      <w:r>
        <w:rPr>
          <w:rFonts w:ascii="Century Gothic" w:eastAsia="Century Gothic" w:hAnsi="Century Gothic" w:cs="Century Gothic"/>
          <w:sz w:val="22"/>
          <w:szCs w:val="22"/>
        </w:rPr>
        <w:t>4. CONCLUSION</w:t>
      </w:r>
    </w:p>
    <w:p w14:paraId="2FEEB824" w14:textId="143DBF32" w:rsidR="006326C5" w:rsidRDefault="00EB5C5E" w:rsidP="00EB5C5E">
      <w:pPr>
        <w:pStyle w:val="Heading1"/>
        <w:spacing w:before="120" w:after="120"/>
        <w:ind w:leftChars="1133" w:left="2268" w:hanging="2"/>
        <w:rPr>
          <w:rFonts w:ascii="Century Gothic" w:eastAsia="Century Gothic" w:hAnsi="Century Gothic" w:cs="Century Gothic"/>
          <w:b w:val="0"/>
          <w:bCs w:val="0"/>
          <w:color w:val="000000"/>
          <w:sz w:val="20"/>
          <w:szCs w:val="20"/>
        </w:rPr>
      </w:pPr>
      <w:r>
        <w:rPr>
          <w:rFonts w:ascii="Century Gothic" w:eastAsia="Century Gothic" w:hAnsi="Century Gothic" w:cs="Century Gothic"/>
          <w:b w:val="0"/>
          <w:bCs w:val="0"/>
          <w:color w:val="000000"/>
          <w:sz w:val="20"/>
          <w:szCs w:val="20"/>
          <w:lang w:val="id-ID"/>
        </w:rPr>
        <w:tab/>
      </w:r>
      <w:r>
        <w:rPr>
          <w:rFonts w:ascii="Century Gothic" w:eastAsia="Century Gothic" w:hAnsi="Century Gothic" w:cs="Century Gothic"/>
          <w:b w:val="0"/>
          <w:bCs w:val="0"/>
          <w:color w:val="000000"/>
          <w:sz w:val="20"/>
          <w:szCs w:val="20"/>
          <w:lang w:val="id-ID"/>
        </w:rPr>
        <w:tab/>
      </w:r>
      <w:r w:rsidRPr="00EB5C5E">
        <w:rPr>
          <w:rFonts w:ascii="Century Gothic" w:eastAsia="Century Gothic" w:hAnsi="Century Gothic" w:cs="Century Gothic"/>
          <w:b w:val="0"/>
          <w:bCs w:val="0"/>
          <w:color w:val="000000"/>
          <w:sz w:val="20"/>
          <w:szCs w:val="20"/>
          <w:lang w:val="id-ID"/>
        </w:rPr>
        <w:t xml:space="preserve">Based on the results of research and discussion regarding vocal technique learning in the 9th grade vocal group material at SMPN 1 Purwodadi, the following conclusions can be drawn: First, the planning of vocal technique learning at SMPN 1 Purwodadi has been systematically arranged by integrating the principles of vocal health and learning differentiation. Teachers design progressive practice stages, starting from posture adjustments, diaphragmatic breathing techniques, vocal warm-ups, to articulation and resonance exercises. This approach is not only oriented towards achieving musical aesthetics, but also prioritizes the prevention of vocal cord tension and early vocal fatigue in adolescent students. Flexibility in planning allows teachers to adjust the material to the level of vocal maturity of each student, so that the learning process is more inclusive and adaptive. Second, the implementation of learning shows that mastery of basic vocal techniques requires multimodal repetition and consistent </w:t>
      </w:r>
      <w:r w:rsidRPr="00EB5C5E">
        <w:rPr>
          <w:rFonts w:ascii="Century Gothic" w:eastAsia="Century Gothic" w:hAnsi="Century Gothic" w:cs="Century Gothic"/>
          <w:b w:val="0"/>
          <w:bCs w:val="0"/>
          <w:color w:val="000000"/>
          <w:sz w:val="20"/>
          <w:szCs w:val="20"/>
          <w:lang w:val="id-ID"/>
        </w:rPr>
        <w:lastRenderedPageBreak/>
        <w:t>feedback. Students are gradually able to improve breath control, reduce physical tension, and harmonize intonation in a group context. Vocal group dynamics function effectively as a collaborative space that trains auditory sensitivity, musical empathy, and social adaptability. However, challenges remain for students experiencing the voice mutation phase, requiring more personalized support and empathetic pedagogical strategies to ensure optimal participation without burdening their physiological condition. Third, adapting learning to the voice mutation period is a key factor in the success of the vocal process in grade 9. Strategies such as grouping based on temporary vocal range, utilizing humming and head voice techniques, and integrating simple vocal anatomy education have been shown to help students understand voice change as a natural process. This approach not only reduces students' psychological anxiety but also builds physiological literacy that supports long-term vocal learning independence. Fourth, formative evaluation implemented through observation, practice recordings, and independent reflection provides a comprehensive picture of student competency development. However, learning effectiveness is still influenced by structural barriers such as limited time allocation, acoustic conditions of practice rooms, and the need to increase teacher capacity in handling adolescent vocals. Mitigation strategies such as peer tutoring and digital-based independent practice assignments show potential to optimize these limitations.</w:t>
      </w:r>
    </w:p>
    <w:p w14:paraId="741B096D" w14:textId="77777777" w:rsidR="006326C5" w:rsidRDefault="00BF261B">
      <w:pPr>
        <w:pStyle w:val="Heading1"/>
        <w:spacing w:before="120" w:after="120" w:line="240" w:lineRule="auto"/>
        <w:ind w:left="0" w:hanging="2"/>
        <w:rPr>
          <w:rFonts w:ascii="Century Gothic" w:eastAsia="Century Gothic" w:hAnsi="Century Gothic" w:cs="Century Gothic"/>
          <w:sz w:val="20"/>
          <w:szCs w:val="20"/>
        </w:rPr>
      </w:pPr>
      <w:r>
        <w:rPr>
          <w:rFonts w:ascii="Century Gothic" w:eastAsia="Century Gothic" w:hAnsi="Century Gothic" w:cs="Century Gothic"/>
          <w:sz w:val="20"/>
          <w:szCs w:val="20"/>
        </w:rPr>
        <w:t>AUTHOR CONTRIBUTION</w:t>
      </w:r>
    </w:p>
    <w:p w14:paraId="4C459E52" w14:textId="07A49468" w:rsidR="006326C5" w:rsidRDefault="00EB5C5E" w:rsidP="00EB5C5E">
      <w:pPr>
        <w:pStyle w:val="Heading1"/>
        <w:spacing w:before="120" w:after="120" w:line="240" w:lineRule="auto"/>
        <w:ind w:leftChars="1133" w:left="2268" w:hanging="2"/>
        <w:rPr>
          <w:rFonts w:ascii="Century Gothic" w:eastAsia="Century Gothic" w:hAnsi="Century Gothic" w:cs="Century Gothic"/>
          <w:b w:val="0"/>
          <w:bCs w:val="0"/>
          <w:sz w:val="20"/>
          <w:szCs w:val="20"/>
        </w:rPr>
      </w:pPr>
      <w:r>
        <w:rPr>
          <w:rFonts w:ascii="Century Gothic" w:eastAsia="Century Gothic" w:hAnsi="Century Gothic" w:cs="Century Gothic"/>
          <w:b w:val="0"/>
          <w:bCs w:val="0"/>
          <w:sz w:val="20"/>
          <w:szCs w:val="20"/>
          <w:lang w:val="id-ID"/>
        </w:rPr>
        <w:tab/>
      </w:r>
      <w:r>
        <w:rPr>
          <w:rFonts w:ascii="Century Gothic" w:eastAsia="Century Gothic" w:hAnsi="Century Gothic" w:cs="Century Gothic"/>
          <w:b w:val="0"/>
          <w:bCs w:val="0"/>
          <w:sz w:val="20"/>
          <w:szCs w:val="20"/>
          <w:lang w:val="id-ID"/>
        </w:rPr>
        <w:tab/>
      </w:r>
      <w:r w:rsidRPr="00EB5C5E">
        <w:rPr>
          <w:rFonts w:ascii="Century Gothic" w:eastAsia="Century Gothic" w:hAnsi="Century Gothic" w:cs="Century Gothic"/>
          <w:b w:val="0"/>
          <w:bCs w:val="0"/>
          <w:sz w:val="20"/>
          <w:szCs w:val="20"/>
          <w:lang w:val="id-ID"/>
        </w:rPr>
        <w:t>Theoretically, this study reinforces the view that vocal education at the junior high school level should place adolescent vocal health and psychophysiological development as the main foundation, before pursuing the aesthetic target of performance. Practically, the results of this study recommend: (1) the need to integrate adolescent vocal technique training modules into music teacher professional development programs; (2) the importance of collaboration between schools and vocal practitioners or related health workers to handle complex cases of voice mutation; and (3) the use of digital platforms for continuous documentation and monitoring of students' vocal progress.</w:t>
      </w:r>
    </w:p>
    <w:p w14:paraId="25D79638" w14:textId="397A5992" w:rsidR="006326C5" w:rsidRDefault="00BF261B">
      <w:pPr>
        <w:pStyle w:val="Heading1"/>
        <w:spacing w:before="120" w:after="120" w:line="240" w:lineRule="auto"/>
        <w:ind w:left="0" w:hanging="2"/>
        <w:rPr>
          <w:rFonts w:ascii="Century Gothic" w:eastAsia="Century Gothic" w:hAnsi="Century Gothic" w:cs="Century Gothic"/>
        </w:rPr>
      </w:pPr>
      <w:r>
        <w:rPr>
          <w:rFonts w:ascii="Century Gothic" w:eastAsia="Century Gothic" w:hAnsi="Century Gothic" w:cs="Century Gothic"/>
          <w:sz w:val="20"/>
          <w:szCs w:val="20"/>
        </w:rPr>
        <w:t>THANK-YOU NOTE</w:t>
      </w:r>
    </w:p>
    <w:p w14:paraId="3FB422F6" w14:textId="270DE09F" w:rsidR="00BF261B" w:rsidRDefault="00BF261B">
      <w:pPr>
        <w:pBdr>
          <w:top w:val="nil"/>
          <w:left w:val="nil"/>
          <w:bottom w:val="nil"/>
          <w:right w:val="nil"/>
          <w:between w:val="nil"/>
        </w:pBdr>
        <w:tabs>
          <w:tab w:val="left" w:pos="425"/>
        </w:tabs>
        <w:ind w:left="2268" w:hanging="1"/>
        <w:jc w:val="both"/>
        <w:rPr>
          <w:rFonts w:ascii="Century Gothic" w:eastAsia="Century Gothic" w:hAnsi="Century Gothic" w:cs="Century Gothic"/>
        </w:rPr>
      </w:pPr>
      <w:r w:rsidRPr="00BF261B">
        <w:rPr>
          <w:rFonts w:ascii="Century Gothic" w:eastAsia="Century Gothic" w:hAnsi="Century Gothic" w:cs="Century Gothic"/>
        </w:rPr>
        <w:t>This study is limited by its single-school participant population and relatively short observation period, making the findings difficult to generalize widely. Furthermore, the clinical aspects of voice mutation were not measured using objective medical instruments, but instead relied on pedagogical observations and participant reflections. Future research is recommended to adopt a mixed-methods design or a longitudinal study to examine the long-term impact of vocal technique interventions on voice resilience, sustained participation, and post-mutation psychological well-being of students.</w:t>
      </w:r>
    </w:p>
    <w:p w14:paraId="0FF562EC" w14:textId="77777777" w:rsidR="006326C5" w:rsidRDefault="00BF261B">
      <w:pPr>
        <w:pStyle w:val="Heading1"/>
        <w:spacing w:before="120" w:after="120"/>
        <w:ind w:left="0" w:hanging="2"/>
        <w:rPr>
          <w:rFonts w:ascii="Century Gothic" w:eastAsia="Century Gothic" w:hAnsi="Century Gothic" w:cs="Century Gothic"/>
          <w:color w:val="000000"/>
        </w:rPr>
      </w:pPr>
      <w:r>
        <w:rPr>
          <w:rFonts w:ascii="Century Gothic" w:eastAsia="Century Gothic" w:hAnsi="Century Gothic" w:cs="Century Gothic"/>
          <w:sz w:val="22"/>
          <w:szCs w:val="22"/>
        </w:rPr>
        <w:t>REFERENCE</w:t>
      </w:r>
    </w:p>
    <w:p w14:paraId="7A79E57E" w14:textId="77777777" w:rsidR="00BF261B" w:rsidRDefault="00BF261B">
      <w:pPr>
        <w:pBdr>
          <w:top w:val="nil"/>
          <w:left w:val="nil"/>
          <w:bottom w:val="nil"/>
          <w:right w:val="nil"/>
          <w:between w:val="nil"/>
        </w:pBdr>
        <w:ind w:left="2835" w:hanging="566"/>
        <w:jc w:val="both"/>
        <w:rPr>
          <w:rFonts w:ascii="Century Gothic" w:eastAsia="Century Gothic" w:hAnsi="Century Gothic" w:cs="Century Gothic"/>
        </w:rPr>
      </w:pPr>
      <w:r w:rsidRPr="00BF261B">
        <w:rPr>
          <w:rFonts w:ascii="Century Gothic" w:eastAsia="Century Gothic" w:hAnsi="Century Gothic" w:cs="Century Gothic"/>
        </w:rPr>
        <w:t>Callaghan, J. (2020). The adolescent singing voice: Development, pedagogy, and practice. Oxford University Press. Creswell, J. W., &amp; Poth, C. N. (2018). Qualitative inquiry and research design:</w:t>
      </w:r>
    </w:p>
    <w:p w14:paraId="35C47D9E" w14:textId="77777777" w:rsidR="00BF261B" w:rsidRDefault="00BF261B">
      <w:pPr>
        <w:pBdr>
          <w:top w:val="nil"/>
          <w:left w:val="nil"/>
          <w:bottom w:val="nil"/>
          <w:right w:val="nil"/>
          <w:between w:val="nil"/>
        </w:pBdr>
        <w:ind w:left="2835" w:hanging="566"/>
        <w:jc w:val="both"/>
        <w:rPr>
          <w:rFonts w:ascii="Century Gothic" w:eastAsia="Century Gothic" w:hAnsi="Century Gothic" w:cs="Century Gothic"/>
        </w:rPr>
      </w:pPr>
      <w:r w:rsidRPr="00BF261B">
        <w:rPr>
          <w:rFonts w:ascii="Century Gothic" w:eastAsia="Century Gothic" w:hAnsi="Century Gothic" w:cs="Century Gothic"/>
        </w:rPr>
        <w:t>Choosing among five approaches (4th ed.). SAGE Publications.</w:t>
      </w:r>
    </w:p>
    <w:p w14:paraId="460E4CD0" w14:textId="77777777" w:rsidR="00BF261B" w:rsidRDefault="00BF261B">
      <w:pPr>
        <w:pBdr>
          <w:top w:val="nil"/>
          <w:left w:val="nil"/>
          <w:bottom w:val="nil"/>
          <w:right w:val="nil"/>
          <w:between w:val="nil"/>
        </w:pBdr>
        <w:ind w:left="2835" w:hanging="566"/>
        <w:jc w:val="both"/>
        <w:rPr>
          <w:rFonts w:ascii="Century Gothic" w:eastAsia="Century Gothic" w:hAnsi="Century Gothic" w:cs="Century Gothic"/>
        </w:rPr>
      </w:pPr>
      <w:r w:rsidRPr="00BF261B">
        <w:rPr>
          <w:rFonts w:ascii="Century Gothic" w:eastAsia="Century Gothic" w:hAnsi="Century Gothic" w:cs="Century Gothic"/>
        </w:rPr>
        <w:lastRenderedPageBreak/>
        <w:t>Fitriani, L., Saputra, D., &amp; Yuniar, R. (2024). Adapting group vocal learning post-pandemic: Teacher strategies and student responses.</w:t>
      </w:r>
    </w:p>
    <w:p w14:paraId="45B7E364" w14:textId="77777777" w:rsidR="00BF261B" w:rsidRDefault="00BF261B">
      <w:pPr>
        <w:pBdr>
          <w:top w:val="nil"/>
          <w:left w:val="nil"/>
          <w:bottom w:val="nil"/>
          <w:right w:val="nil"/>
          <w:between w:val="nil"/>
        </w:pBdr>
        <w:ind w:left="2835" w:hanging="566"/>
        <w:jc w:val="both"/>
        <w:rPr>
          <w:rFonts w:ascii="Century Gothic" w:eastAsia="Century Gothic" w:hAnsi="Century Gothic" w:cs="Century Gothic"/>
        </w:rPr>
      </w:pPr>
      <w:r w:rsidRPr="00BF261B">
        <w:rPr>
          <w:rFonts w:ascii="Century Gothic" w:eastAsia="Century Gothic" w:hAnsi="Century Gothic" w:cs="Century Gothic"/>
        </w:rPr>
        <w:t>Solah Journal: Arts, Culture, and Education, 8(1), 15–29.</w:t>
      </w:r>
    </w:p>
    <w:p w14:paraId="752E024C" w14:textId="77777777" w:rsidR="00BF261B" w:rsidRDefault="00BF261B">
      <w:pPr>
        <w:pBdr>
          <w:top w:val="nil"/>
          <w:left w:val="nil"/>
          <w:bottom w:val="nil"/>
          <w:right w:val="nil"/>
          <w:between w:val="nil"/>
        </w:pBdr>
        <w:ind w:left="2835" w:hanging="566"/>
        <w:jc w:val="both"/>
        <w:rPr>
          <w:rFonts w:ascii="Century Gothic" w:eastAsia="Century Gothic" w:hAnsi="Century Gothic" w:cs="Century Gothic"/>
        </w:rPr>
      </w:pPr>
      <w:r w:rsidRPr="00BF261B">
        <w:rPr>
          <w:rFonts w:ascii="Century Gothic" w:eastAsia="Century Gothic" w:hAnsi="Century Gothic" w:cs="Century Gothic"/>
        </w:rPr>
        <w:t>Jorgensen, E.R., &amp; Hourigan, S.L. (2018). Research in music education: An introduction to methods and practices.</w:t>
      </w:r>
    </w:p>
    <w:p w14:paraId="04DB4E5A" w14:textId="77777777" w:rsidR="00BF261B" w:rsidRDefault="00BF261B">
      <w:pPr>
        <w:pBdr>
          <w:top w:val="nil"/>
          <w:left w:val="nil"/>
          <w:bottom w:val="nil"/>
          <w:right w:val="nil"/>
          <w:between w:val="nil"/>
        </w:pBdr>
        <w:ind w:left="2835" w:hanging="566"/>
        <w:jc w:val="both"/>
        <w:rPr>
          <w:rFonts w:ascii="Century Gothic" w:eastAsia="Century Gothic" w:hAnsi="Century Gothic" w:cs="Century Gothic"/>
        </w:rPr>
      </w:pPr>
      <w:r w:rsidRPr="00BF261B">
        <w:rPr>
          <w:rFonts w:ascii="Century Gothic" w:eastAsia="Century Gothic" w:hAnsi="Century Gothic" w:cs="Century Gothic"/>
        </w:rPr>
        <w:t>Routledge. Jossey-Bass. Miles, M.B., Huberman, A.M., &amp; Saldaña, J. (2020). Qualitative data analysis: A methods sourcebook (4th ed.). SAGE Publications.</w:t>
      </w:r>
    </w:p>
    <w:p w14:paraId="1AA40F27" w14:textId="77777777" w:rsidR="00BF261B" w:rsidRDefault="00BF261B">
      <w:pPr>
        <w:pBdr>
          <w:top w:val="nil"/>
          <w:left w:val="nil"/>
          <w:bottom w:val="nil"/>
          <w:right w:val="nil"/>
          <w:between w:val="nil"/>
        </w:pBdr>
        <w:ind w:left="2835" w:hanging="566"/>
        <w:jc w:val="both"/>
        <w:rPr>
          <w:rFonts w:ascii="Century Gothic" w:eastAsia="Century Gothic" w:hAnsi="Century Gothic" w:cs="Century Gothic"/>
        </w:rPr>
      </w:pPr>
      <w:r w:rsidRPr="00BF261B">
        <w:rPr>
          <w:rFonts w:ascii="Century Gothic" w:eastAsia="Century Gothic" w:hAnsi="Century Gothic" w:cs="Century Gothic"/>
        </w:rPr>
        <w:t>Kasihani, R., &amp; Prasetyo, B. (2021). Changes in the adolescent voice and their implications for vocal pedagogy in secondary schools. Journal of Arts Education, 9(2), 112–125. Kusuma, AD, &amp;</w:t>
      </w:r>
    </w:p>
    <w:p w14:paraId="38F5D57C" w14:textId="77777777" w:rsidR="00BF261B" w:rsidRDefault="00BF261B">
      <w:pPr>
        <w:pBdr>
          <w:top w:val="nil"/>
          <w:left w:val="nil"/>
          <w:bottom w:val="nil"/>
          <w:right w:val="nil"/>
          <w:between w:val="nil"/>
        </w:pBdr>
        <w:ind w:left="2835" w:hanging="566"/>
        <w:jc w:val="both"/>
        <w:rPr>
          <w:rFonts w:ascii="Century Gothic" w:eastAsia="Century Gothic" w:hAnsi="Century Gothic" w:cs="Century Gothic"/>
        </w:rPr>
      </w:pPr>
      <w:r w:rsidRPr="00BF261B">
        <w:rPr>
          <w:rFonts w:ascii="Century Gothic" w:eastAsia="Century Gothic" w:hAnsi="Century Gothic" w:cs="Century Gothic"/>
        </w:rPr>
        <w:t>Wulandari, S. (2021). Vocal health-based pedagogy in junior high school music classes. Indonesian Music Journal, 14(1), 45–58.</w:t>
      </w:r>
    </w:p>
    <w:p w14:paraId="77D39E0A" w14:textId="77777777" w:rsidR="00BF261B" w:rsidRDefault="00BF261B">
      <w:pPr>
        <w:pBdr>
          <w:top w:val="nil"/>
          <w:left w:val="nil"/>
          <w:bottom w:val="nil"/>
          <w:right w:val="nil"/>
          <w:between w:val="nil"/>
        </w:pBdr>
        <w:ind w:left="2835" w:hanging="566"/>
        <w:jc w:val="both"/>
        <w:rPr>
          <w:rFonts w:ascii="Century Gothic" w:eastAsia="Century Gothic" w:hAnsi="Century Gothic" w:cs="Century Gothic"/>
        </w:rPr>
      </w:pPr>
      <w:r w:rsidRPr="00BF261B">
        <w:rPr>
          <w:rFonts w:ascii="Century Gothic" w:eastAsia="Century Gothic" w:hAnsi="Century Gothic" w:cs="Century Gothic"/>
        </w:rPr>
        <w:t>Lestari, D., &amp; Haryanto, F. (2020). Foundations of safe vocal techniques for adolescents: Physiological and pedagogical perspectives.</w:t>
      </w:r>
    </w:p>
    <w:p w14:paraId="2F0C904B" w14:textId="2E226042" w:rsidR="00BF261B" w:rsidRDefault="00BF261B">
      <w:pPr>
        <w:pBdr>
          <w:top w:val="nil"/>
          <w:left w:val="nil"/>
          <w:bottom w:val="nil"/>
          <w:right w:val="nil"/>
          <w:between w:val="nil"/>
        </w:pBdr>
        <w:ind w:left="2835" w:hanging="566"/>
        <w:jc w:val="both"/>
        <w:rPr>
          <w:rFonts w:ascii="Century Gothic" w:eastAsia="Century Gothic" w:hAnsi="Century Gothic" w:cs="Century Gothic"/>
        </w:rPr>
      </w:pPr>
      <w:r w:rsidRPr="00BF261B">
        <w:rPr>
          <w:rFonts w:ascii="Century Gothic" w:eastAsia="Century Gothic" w:hAnsi="Century Gothic" w:cs="Century Gothic"/>
        </w:rPr>
        <w:t>Indonesian Journal of Music Education, 15(1), 33–47.</w:t>
      </w:r>
    </w:p>
    <w:p w14:paraId="69C56929" w14:textId="77777777" w:rsidR="00BF261B" w:rsidRDefault="00BF261B">
      <w:pPr>
        <w:pBdr>
          <w:top w:val="nil"/>
          <w:left w:val="nil"/>
          <w:bottom w:val="nil"/>
          <w:right w:val="nil"/>
          <w:between w:val="nil"/>
        </w:pBdr>
        <w:ind w:left="2835" w:hanging="566"/>
        <w:jc w:val="both"/>
        <w:rPr>
          <w:rFonts w:ascii="Century Gothic" w:eastAsia="Century Gothic" w:hAnsi="Century Gothic" w:cs="Century Gothic"/>
        </w:rPr>
      </w:pPr>
      <w:r w:rsidRPr="00BF261B">
        <w:rPr>
          <w:rFonts w:ascii="Century Gothic" w:eastAsia="Century Gothic" w:hAnsi="Century Gothic" w:cs="Century Gothic"/>
        </w:rPr>
        <w:t>Merriam, S. B., &amp; Tisdell, E. J. (2019). Qualitative research: A guide to design and implementation (4th ed.).</w:t>
      </w:r>
    </w:p>
    <w:p w14:paraId="512B597D" w14:textId="77777777" w:rsidR="00BF261B" w:rsidRDefault="00BF261B">
      <w:pPr>
        <w:pBdr>
          <w:top w:val="nil"/>
          <w:left w:val="nil"/>
          <w:bottom w:val="nil"/>
          <w:right w:val="nil"/>
          <w:between w:val="nil"/>
        </w:pBdr>
        <w:ind w:left="2835" w:hanging="566"/>
        <w:jc w:val="both"/>
        <w:rPr>
          <w:rFonts w:ascii="Century Gothic" w:eastAsia="Century Gothic" w:hAnsi="Century Gothic" w:cs="Century Gothic"/>
        </w:rPr>
      </w:pPr>
      <w:r w:rsidRPr="00BF261B">
        <w:rPr>
          <w:rFonts w:ascii="Century Gothic" w:eastAsia="Century Gothic" w:hAnsi="Century Gothic" w:cs="Century Gothic"/>
        </w:rPr>
        <w:t>Moleong, LJ (2021). Qualitative research methodology (Revised Edition).</w:t>
      </w:r>
    </w:p>
    <w:p w14:paraId="3A848E14" w14:textId="77777777" w:rsidR="00BF261B" w:rsidRDefault="00BF261B">
      <w:pPr>
        <w:pBdr>
          <w:top w:val="nil"/>
          <w:left w:val="nil"/>
          <w:bottom w:val="nil"/>
          <w:right w:val="nil"/>
          <w:between w:val="nil"/>
        </w:pBdr>
        <w:ind w:left="2835" w:hanging="566"/>
        <w:jc w:val="both"/>
        <w:rPr>
          <w:rFonts w:ascii="Century Gothic" w:eastAsia="Century Gothic" w:hAnsi="Century Gothic" w:cs="Century Gothic"/>
        </w:rPr>
      </w:pPr>
      <w:r w:rsidRPr="00BF261B">
        <w:rPr>
          <w:rFonts w:ascii="Century Gothic" w:eastAsia="Century Gothic" w:hAnsi="Century Gothic" w:cs="Century Gothic"/>
        </w:rPr>
        <w:t>Prasetya, AD, &amp; Dewi, NK (2019). Systematization of basic vocal exercises to improve the health and vocal accuracy of junior high school students. Musikalia, 4(1), 45–58.</w:t>
      </w:r>
    </w:p>
    <w:p w14:paraId="1C76C3C9" w14:textId="77777777" w:rsidR="00BF261B" w:rsidRDefault="00BF261B">
      <w:pPr>
        <w:pBdr>
          <w:top w:val="nil"/>
          <w:left w:val="nil"/>
          <w:bottom w:val="nil"/>
          <w:right w:val="nil"/>
          <w:between w:val="nil"/>
        </w:pBdr>
        <w:ind w:left="2835" w:hanging="566"/>
        <w:jc w:val="both"/>
        <w:rPr>
          <w:rFonts w:ascii="Century Gothic" w:eastAsia="Century Gothic" w:hAnsi="Century Gothic" w:cs="Century Gothic"/>
        </w:rPr>
      </w:pPr>
      <w:r w:rsidRPr="00BF261B">
        <w:rPr>
          <w:rFonts w:ascii="Century Gothic" w:eastAsia="Century Gothic" w:hAnsi="Century Gothic" w:cs="Century Gothic"/>
        </w:rPr>
        <w:t>Prasetya, AD, Saputra, R., &amp; Dewi, NK (2023).</w:t>
      </w:r>
    </w:p>
    <w:p w14:paraId="264BDA23" w14:textId="77777777" w:rsidR="00BF261B" w:rsidRDefault="00BF261B">
      <w:pPr>
        <w:pBdr>
          <w:top w:val="nil"/>
          <w:left w:val="nil"/>
          <w:bottom w:val="nil"/>
          <w:right w:val="nil"/>
          <w:between w:val="nil"/>
        </w:pBdr>
        <w:ind w:left="2835" w:hanging="566"/>
        <w:jc w:val="both"/>
        <w:rPr>
          <w:rFonts w:ascii="Century Gothic" w:eastAsia="Century Gothic" w:hAnsi="Century Gothic" w:cs="Century Gothic"/>
        </w:rPr>
      </w:pPr>
      <w:r w:rsidRPr="00BF261B">
        <w:rPr>
          <w:rFonts w:ascii="Century Gothic" w:eastAsia="Century Gothic" w:hAnsi="Century Gothic" w:cs="Century Gothic"/>
        </w:rPr>
        <w:t>Multimodal vocal training and motor coordination in adolescent singers.</w:t>
      </w:r>
    </w:p>
    <w:p w14:paraId="59611B09" w14:textId="77777777" w:rsidR="00BF261B" w:rsidRDefault="00BF261B">
      <w:pPr>
        <w:pBdr>
          <w:top w:val="nil"/>
          <w:left w:val="nil"/>
          <w:bottom w:val="nil"/>
          <w:right w:val="nil"/>
          <w:between w:val="nil"/>
        </w:pBdr>
        <w:ind w:left="2835" w:hanging="566"/>
        <w:jc w:val="both"/>
        <w:rPr>
          <w:rFonts w:ascii="Century Gothic" w:eastAsia="Century Gothic" w:hAnsi="Century Gothic" w:cs="Century Gothic"/>
        </w:rPr>
      </w:pPr>
      <w:r w:rsidRPr="00BF261B">
        <w:rPr>
          <w:rFonts w:ascii="Century Gothic" w:eastAsia="Century Gothic" w:hAnsi="Century Gothic" w:cs="Century Gothic"/>
        </w:rPr>
        <w:t>Indonesian Journal of Music Education, 7(2), 89–104.</w:t>
      </w:r>
    </w:p>
    <w:p w14:paraId="2E769552" w14:textId="77777777" w:rsidR="00BF261B" w:rsidRDefault="00BF261B">
      <w:pPr>
        <w:pBdr>
          <w:top w:val="nil"/>
          <w:left w:val="nil"/>
          <w:bottom w:val="nil"/>
          <w:right w:val="nil"/>
          <w:between w:val="nil"/>
        </w:pBdr>
        <w:ind w:left="2835" w:hanging="566"/>
        <w:jc w:val="both"/>
        <w:rPr>
          <w:rFonts w:ascii="Century Gothic" w:eastAsia="Century Gothic" w:hAnsi="Century Gothic" w:cs="Century Gothic"/>
        </w:rPr>
      </w:pPr>
      <w:r w:rsidRPr="00BF261B">
        <w:rPr>
          <w:rFonts w:ascii="Century Gothic" w:eastAsia="Century Gothic" w:hAnsi="Century Gothic" w:cs="Century Gothic"/>
        </w:rPr>
        <w:t>PT Teen Rosdakarya. Patton, M. Q. (2020). Qualitative research &amp; evaluation methods (4th ed.).</w:t>
      </w:r>
    </w:p>
    <w:p w14:paraId="7CD6F504" w14:textId="77777777" w:rsidR="00BF261B" w:rsidRDefault="00BF261B">
      <w:pPr>
        <w:pBdr>
          <w:top w:val="nil"/>
          <w:left w:val="nil"/>
          <w:bottom w:val="nil"/>
          <w:right w:val="nil"/>
          <w:between w:val="nil"/>
        </w:pBdr>
        <w:ind w:left="2835" w:hanging="566"/>
        <w:jc w:val="both"/>
        <w:rPr>
          <w:rFonts w:ascii="Century Gothic" w:eastAsia="Century Gothic" w:hAnsi="Century Gothic" w:cs="Century Gothic"/>
        </w:rPr>
      </w:pPr>
      <w:r w:rsidRPr="00BF261B">
        <w:rPr>
          <w:rFonts w:ascii="Century Gothic" w:eastAsia="Century Gothic" w:hAnsi="Century Gothic" w:cs="Century Gothic"/>
        </w:rPr>
        <w:t>SAGE Publications. Santoso, B., &amp; Rahmawati, I. (2022). Adaptive vocal pedagogy in differentiated classroom settings.</w:t>
      </w:r>
    </w:p>
    <w:p w14:paraId="3BE51144" w14:textId="77777777" w:rsidR="00BF261B" w:rsidRDefault="00BF261B">
      <w:pPr>
        <w:pBdr>
          <w:top w:val="nil"/>
          <w:left w:val="nil"/>
          <w:bottom w:val="nil"/>
          <w:right w:val="nil"/>
          <w:between w:val="nil"/>
        </w:pBdr>
        <w:ind w:left="2835" w:hanging="566"/>
        <w:jc w:val="both"/>
        <w:rPr>
          <w:rFonts w:ascii="Century Gothic" w:eastAsia="Century Gothic" w:hAnsi="Century Gothic" w:cs="Century Gothic"/>
        </w:rPr>
      </w:pPr>
      <w:r w:rsidRPr="00BF261B">
        <w:rPr>
          <w:rFonts w:ascii="Century Gothic" w:eastAsia="Century Gothic" w:hAnsi="Century Gothic" w:cs="Century Gothic"/>
        </w:rPr>
        <w:t>Journal of Arts and Learning, 6(3), 201–215.</w:t>
      </w:r>
    </w:p>
    <w:p w14:paraId="4254A36D" w14:textId="77777777" w:rsidR="00BF261B" w:rsidRDefault="00BF261B">
      <w:pPr>
        <w:pBdr>
          <w:top w:val="nil"/>
          <w:left w:val="nil"/>
          <w:bottom w:val="nil"/>
          <w:right w:val="nil"/>
          <w:between w:val="nil"/>
        </w:pBdr>
        <w:ind w:left="2835" w:hanging="566"/>
        <w:jc w:val="both"/>
        <w:rPr>
          <w:rFonts w:ascii="Century Gothic" w:eastAsia="Century Gothic" w:hAnsi="Century Gothic" w:cs="Century Gothic"/>
        </w:rPr>
      </w:pPr>
      <w:r w:rsidRPr="00BF261B">
        <w:rPr>
          <w:rFonts w:ascii="Century Gothic" w:eastAsia="Century Gothic" w:hAnsi="Century Gothic" w:cs="Century Gothic"/>
        </w:rPr>
        <w:t>Setiawan, MR, &amp; Rahayu, S. (2023). Pedagogical barriers in group vocal technique learning in public schools.</w:t>
      </w:r>
    </w:p>
    <w:p w14:paraId="525CFFE2" w14:textId="7E92019B" w:rsidR="00BF261B" w:rsidRDefault="00BF261B">
      <w:pPr>
        <w:pBdr>
          <w:top w:val="nil"/>
          <w:left w:val="nil"/>
          <w:bottom w:val="nil"/>
          <w:right w:val="nil"/>
          <w:between w:val="nil"/>
        </w:pBdr>
        <w:ind w:left="2835" w:hanging="566"/>
        <w:jc w:val="both"/>
        <w:rPr>
          <w:rFonts w:ascii="Century Gothic" w:eastAsia="Century Gothic" w:hAnsi="Century Gothic" w:cs="Century Gothic"/>
        </w:rPr>
      </w:pPr>
      <w:r w:rsidRPr="00BF261B">
        <w:rPr>
          <w:rFonts w:ascii="Century Gothic" w:eastAsia="Century Gothic" w:hAnsi="Century Gothic" w:cs="Century Gothic"/>
        </w:rPr>
        <w:t>Journal of Arts and Learning, 7(2), 89–103.</w:t>
      </w:r>
    </w:p>
    <w:p w14:paraId="261E2D2F" w14:textId="77777777" w:rsidR="00BF261B" w:rsidRDefault="00BF261B">
      <w:pPr>
        <w:pBdr>
          <w:top w:val="nil"/>
          <w:left w:val="nil"/>
          <w:bottom w:val="nil"/>
          <w:right w:val="nil"/>
          <w:between w:val="nil"/>
        </w:pBdr>
        <w:ind w:left="2835" w:hanging="566"/>
        <w:jc w:val="both"/>
        <w:rPr>
          <w:rFonts w:ascii="Century Gothic" w:eastAsia="Century Gothic" w:hAnsi="Century Gothic" w:cs="Century Gothic"/>
        </w:rPr>
      </w:pPr>
      <w:r w:rsidRPr="00BF261B">
        <w:rPr>
          <w:rFonts w:ascii="Century Gothic" w:eastAsia="Century Gothic" w:hAnsi="Century Gothic" w:cs="Century Gothic"/>
        </w:rPr>
        <w:t>Sugiyono. (2022). Educational research methods: Quantitative, qualitative, and R&amp;D approaches. Alfabeta. Welch, GF (2021).</w:t>
      </w:r>
    </w:p>
    <w:p w14:paraId="6D358C4C" w14:textId="77777777" w:rsidR="00BF261B" w:rsidRDefault="00BF261B">
      <w:pPr>
        <w:pBdr>
          <w:top w:val="nil"/>
          <w:left w:val="nil"/>
          <w:bottom w:val="nil"/>
          <w:right w:val="nil"/>
          <w:between w:val="nil"/>
        </w:pBdr>
        <w:ind w:left="2835" w:hanging="566"/>
        <w:jc w:val="both"/>
        <w:rPr>
          <w:rFonts w:ascii="Century Gothic" w:eastAsia="Century Gothic" w:hAnsi="Century Gothic" w:cs="Century Gothic"/>
        </w:rPr>
      </w:pPr>
      <w:r w:rsidRPr="00BF261B">
        <w:rPr>
          <w:rFonts w:ascii="Century Gothic" w:eastAsia="Century Gothic" w:hAnsi="Century Gothic" w:cs="Century Gothic"/>
        </w:rPr>
        <w:t>The child as musician: A handbook of musical development from conception to adolescence (2nd ed.).</w:t>
      </w:r>
    </w:p>
    <w:p w14:paraId="59ECE579" w14:textId="77777777" w:rsidR="00BF261B" w:rsidRDefault="00BF261B">
      <w:pPr>
        <w:pBdr>
          <w:top w:val="nil"/>
          <w:left w:val="nil"/>
          <w:bottom w:val="nil"/>
          <w:right w:val="nil"/>
          <w:between w:val="nil"/>
        </w:pBdr>
        <w:ind w:left="2835" w:hanging="566"/>
        <w:jc w:val="both"/>
        <w:rPr>
          <w:rFonts w:ascii="Century Gothic" w:eastAsia="Century Gothic" w:hAnsi="Century Gothic" w:cs="Century Gothic"/>
        </w:rPr>
      </w:pPr>
      <w:r w:rsidRPr="00BF261B">
        <w:rPr>
          <w:rFonts w:ascii="Century Gothic" w:eastAsia="Century Gothic" w:hAnsi="Century Gothic" w:cs="Century Gothic"/>
        </w:rPr>
        <w:t>Oxford University Press. Widiastuti, I., &amp; Nugroho, H. (2022). Implementation of the Independent Curriculum in collaborative music arts learning at the junior high school level.</w:t>
      </w:r>
    </w:p>
    <w:p w14:paraId="252140A3" w14:textId="4D128108" w:rsidR="006326C5" w:rsidRDefault="00BF261B">
      <w:pPr>
        <w:pBdr>
          <w:top w:val="nil"/>
          <w:left w:val="nil"/>
          <w:bottom w:val="nil"/>
          <w:right w:val="nil"/>
          <w:between w:val="nil"/>
        </w:pBdr>
        <w:ind w:left="2835" w:hanging="566"/>
        <w:jc w:val="both"/>
        <w:rPr>
          <w:rFonts w:ascii="Century Gothic" w:eastAsia="Century Gothic" w:hAnsi="Century Gothic" w:cs="Century Gothic"/>
        </w:rPr>
      </w:pPr>
      <w:r w:rsidRPr="00BF261B">
        <w:rPr>
          <w:rFonts w:ascii="Century Gothic" w:eastAsia="Century Gothic" w:hAnsi="Century Gothic" w:cs="Century Gothic"/>
        </w:rPr>
        <w:t>Scientific Journal of Art Education 41.</w:t>
      </w:r>
    </w:p>
    <w:sectPr w:rsidR="006326C5">
      <w:type w:val="continuous"/>
      <w:pgSz w:w="11907" w:h="16840"/>
      <w:pgMar w:top="1440" w:right="1440" w:bottom="1440" w:left="1440" w:header="14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09087" w14:textId="77777777" w:rsidR="002362D6" w:rsidRDefault="002362D6">
      <w:r>
        <w:separator/>
      </w:r>
    </w:p>
  </w:endnote>
  <w:endnote w:type="continuationSeparator" w:id="0">
    <w:p w14:paraId="1321518B" w14:textId="77777777" w:rsidR="002362D6" w:rsidRDefault="00236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embedRegular r:id="rId1" w:fontKey="{E810C7E0-4A53-0C40-A5A4-975710575AE8}"/>
    <w:embedBold r:id="rId2" w:fontKey="{7F32F4D3-E6C1-EB4E-B1EE-E92565181333}"/>
    <w:embedBoldItalic r:id="rId3" w:fontKey="{FBFEC769-06AB-F245-B749-68A180A5EB0C}"/>
  </w:font>
  <w:font w:name="Calibri Light">
    <w:panose1 w:val="020F0302020204030204"/>
    <w:charset w:val="00"/>
    <w:family w:val="swiss"/>
    <w:pitch w:val="variable"/>
    <w:sig w:usb0="E4002EFF" w:usb1="C000247B" w:usb2="00000009" w:usb3="00000000" w:csb0="000001FF" w:csb1="00000000"/>
    <w:embedBold r:id="rId4" w:fontKey="{36CF95AE-F67B-964E-94A3-1508801B1623}"/>
  </w:font>
  <w:font w:name="Times New Roman">
    <w:panose1 w:val="02020603050405020304"/>
    <w:charset w:val="00"/>
    <w:family w:val="roman"/>
    <w:pitch w:val="variable"/>
    <w:sig w:usb0="E0002EFF" w:usb1="C000785B" w:usb2="00000009" w:usb3="00000000" w:csb0="000001FF" w:csb1="00000000"/>
    <w:embedRegular r:id="rId5" w:fontKey="{E1ADED88-2355-0546-B0E9-AA0D425BC0B3}"/>
    <w:embedBold r:id="rId6" w:fontKey="{C36F7B46-F6F5-1F42-A8C6-317F1F82950D}"/>
    <w:embedItalic r:id="rId7" w:fontKey="{A8C9BC8B-FDDA-DA45-A33A-49A79BF664AA}"/>
    <w:embedBoldItalic r:id="rId8" w:fontKey="{54DB7346-C481-0E47-8A2C-71E9EEB3D3C9}"/>
  </w:font>
  <w:font w:name="Georgia">
    <w:panose1 w:val="02040502050405020303"/>
    <w:charset w:val="00"/>
    <w:family w:val="roman"/>
    <w:pitch w:val="variable"/>
    <w:sig w:usb0="00000287" w:usb1="00000000" w:usb2="00000000" w:usb3="00000000" w:csb0="0000009F" w:csb1="00000000"/>
    <w:embedItalic r:id="rId9" w:fontKey="{2C3B1373-2FD9-C846-B86D-B8A520C09B81}"/>
  </w:font>
  <w:font w:name="Cambria">
    <w:panose1 w:val="02040503050406030204"/>
    <w:charset w:val="00"/>
    <w:family w:val="roman"/>
    <w:pitch w:val="variable"/>
    <w:sig w:usb0="E00006FF" w:usb1="420024FF" w:usb2="02000000" w:usb3="00000000" w:csb0="0000019F" w:csb1="00000000"/>
    <w:embedRegular r:id="rId10" w:fontKey="{CD5AA9F1-24EE-844A-BA3A-4D43B550734B}"/>
    <w:embedItalic r:id="rId11" w:fontKey="{E64EF33D-B43C-F448-A1EE-151B481BB63D}"/>
  </w:font>
  <w:font w:name="Century Gothic">
    <w:panose1 w:val="020B0502020202020204"/>
    <w:charset w:val="00"/>
    <w:family w:val="swiss"/>
    <w:pitch w:val="variable"/>
    <w:sig w:usb0="00000287" w:usb1="00000000" w:usb2="00000000" w:usb3="00000000" w:csb0="0000009F" w:csb1="00000000"/>
    <w:embedRegular r:id="rId12" w:fontKey="{35C79A26-9F4B-B743-9A3D-4DED8211042C}"/>
    <w:embedBold r:id="rId13" w:fontKey="{606BB62C-3DA5-EF4D-A273-EA4B3C5AD768}"/>
    <w:embedItalic r:id="rId14" w:fontKey="{D3904D55-968F-9E4D-82D2-655571C2F00D}"/>
    <w:embedBoldItalic r:id="rId15" w:fontKey="{E5C5182B-4AED-6842-B970-351AFF4FF077}"/>
  </w:font>
  <w:font w:name="FS Me Light">
    <w:altName w:val="Calibri"/>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A8082" w14:textId="77777777" w:rsidR="006326C5" w:rsidRDefault="006326C5">
    <w:pPr>
      <w:pBdr>
        <w:top w:val="nil"/>
        <w:left w:val="nil"/>
        <w:bottom w:val="nil"/>
        <w:right w:val="nil"/>
        <w:between w:val="nil"/>
      </w:pBdr>
      <w:tabs>
        <w:tab w:val="center" w:pos="4680"/>
        <w:tab w:val="right" w:pos="9360"/>
      </w:tabs>
      <w:ind w:hanging="2"/>
      <w:jc w:val="both"/>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B0110" w14:textId="77777777" w:rsidR="006326C5" w:rsidRDefault="006326C5">
    <w:pPr>
      <w:pBdr>
        <w:top w:val="nil"/>
        <w:left w:val="nil"/>
        <w:bottom w:val="nil"/>
        <w:right w:val="nil"/>
        <w:between w:val="nil"/>
      </w:pBdr>
      <w:tabs>
        <w:tab w:val="center" w:pos="4680"/>
        <w:tab w:val="right" w:pos="9360"/>
      </w:tabs>
      <w:ind w:hanging="2"/>
      <w:jc w:val="both"/>
      <w:rPr>
        <w:rFonts w:ascii="Times New Roman" w:eastAsia="Times New Roman" w:hAnsi="Times New Roman" w:cs="Times New Roman"/>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C9E1B" w14:textId="77777777" w:rsidR="006326C5" w:rsidRDefault="00BF261B">
    <w:pPr>
      <w:spacing w:before="98" w:line="237" w:lineRule="auto"/>
      <w:ind w:left="3747"/>
      <w:rPr>
        <w:sz w:val="12"/>
        <w:szCs w:val="12"/>
      </w:rPr>
    </w:pPr>
    <w:r>
      <w:rPr>
        <w:sz w:val="12"/>
        <w:szCs w:val="12"/>
      </w:rPr>
      <w:t xml:space="preserve">© 2023 The Author. This open access article is distributed under the Creative Commons Attribution </w:t>
    </w:r>
    <w:hyperlink r:id="rId1">
      <w:r>
        <w:rPr>
          <w:sz w:val="12"/>
          <w:szCs w:val="12"/>
        </w:rPr>
        <w:t xml:space="preserve">( </w:t>
      </w:r>
    </w:hyperlink>
    <w:hyperlink r:id="rId2">
      <w:r>
        <w:rPr>
          <w:color w:val="0000FF"/>
          <w:sz w:val="12"/>
          <w:szCs w:val="12"/>
        </w:rPr>
        <w:t xml:space="preserve">CC-BY-NC-SA </w:t>
      </w:r>
    </w:hyperlink>
    <w:hyperlink r:id="rId3">
      <w:r>
        <w:rPr>
          <w:sz w:val="12"/>
          <w:szCs w:val="12"/>
        </w:rPr>
        <w:t xml:space="preserve">) </w:t>
      </w:r>
    </w:hyperlink>
    <w:r>
      <w:rPr>
        <w:sz w:val="12"/>
        <w:szCs w:val="12"/>
      </w:rPr>
      <w:t>4.0 license.</w:t>
    </w:r>
    <w:r>
      <w:rPr>
        <w:noProof/>
      </w:rPr>
      <mc:AlternateContent>
        <mc:Choice Requires="wpg">
          <w:drawing>
            <wp:anchor distT="0" distB="0" distL="114300" distR="114300" simplePos="0" relativeHeight="251659264" behindDoc="0" locked="0" layoutInCell="1" hidden="0" allowOverlap="1" wp14:anchorId="766F0342" wp14:editId="1BDCFF27">
              <wp:simplePos x="0" y="0"/>
              <wp:positionH relativeFrom="column">
                <wp:posOffset>1485900</wp:posOffset>
              </wp:positionH>
              <wp:positionV relativeFrom="paragraph">
                <wp:posOffset>0</wp:posOffset>
              </wp:positionV>
              <wp:extent cx="4114165" cy="19050"/>
              <wp:effectExtent l="0" t="0" r="0" b="0"/>
              <wp:wrapNone/>
              <wp:docPr id="1984703688" name="Group 1984703688"/>
              <wp:cNvGraphicFramePr/>
              <a:graphic xmlns:a="http://schemas.openxmlformats.org/drawingml/2006/main">
                <a:graphicData uri="http://schemas.microsoft.com/office/word/2010/wordprocessingGroup">
                  <wpg:wgp>
                    <wpg:cNvGrpSpPr/>
                    <wpg:grpSpPr>
                      <a:xfrm>
                        <a:off x="0" y="0"/>
                        <a:ext cx="4114165" cy="19050"/>
                        <a:chOff x="3288900" y="3770475"/>
                        <a:chExt cx="4114200" cy="19050"/>
                      </a:xfrm>
                    </wpg:grpSpPr>
                    <wpg:grpSp>
                      <wpg:cNvPr id="1779542211" name="Group 1779542211"/>
                      <wpg:cNvGrpSpPr/>
                      <wpg:grpSpPr>
                        <a:xfrm>
                          <a:off x="3288918" y="3770475"/>
                          <a:ext cx="4114165" cy="19050"/>
                          <a:chOff x="0" y="0"/>
                          <a:chExt cx="4114165" cy="19050"/>
                        </a:xfrm>
                      </wpg:grpSpPr>
                      <wps:wsp>
                        <wps:cNvPr id="1391580354" name="Rectangle 1391580354"/>
                        <wps:cNvSpPr/>
                        <wps:spPr>
                          <a:xfrm>
                            <a:off x="0" y="0"/>
                            <a:ext cx="4114150" cy="19050"/>
                          </a:xfrm>
                          <a:prstGeom prst="rect">
                            <a:avLst/>
                          </a:prstGeom>
                          <a:noFill/>
                          <a:ln>
                            <a:noFill/>
                          </a:ln>
                        </wps:spPr>
                        <wps:txbx>
                          <w:txbxContent>
                            <w:p w14:paraId="4E09584C" w14:textId="77777777" w:rsidR="006326C5" w:rsidRDefault="006326C5">
                              <w:pPr>
                                <w:textDirection w:val="btLr"/>
                              </w:pPr>
                            </w:p>
                          </w:txbxContent>
                        </wps:txbx>
                        <wps:bodyPr spcFirstLastPara="1" wrap="square" lIns="91425" tIns="91425" rIns="91425" bIns="91425" anchor="ctr" anchorCtr="0">
                          <a:noAutofit/>
                        </wps:bodyPr>
                      </wps:wsp>
                      <wps:wsp>
                        <wps:cNvPr id="298420805" name="Freeform: Shape 298420805"/>
                        <wps:cNvSpPr/>
                        <wps:spPr>
                          <a:xfrm>
                            <a:off x="0" y="9525"/>
                            <a:ext cx="4114165" cy="1270"/>
                          </a:xfrm>
                          <a:custGeom>
                            <a:avLst/>
                            <a:gdLst/>
                            <a:ahLst/>
                            <a:cxnLst/>
                            <a:rect l="l" t="t" r="r" b="b"/>
                            <a:pathLst>
                              <a:path w="4114165" h="120000" extrusionOk="0">
                                <a:moveTo>
                                  <a:pt x="0" y="0"/>
                                </a:moveTo>
                                <a:lnTo>
                                  <a:pt x="4114165" y="0"/>
                                </a:lnTo>
                              </a:path>
                            </a:pathLst>
                          </a:custGeom>
                          <a:no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766F0342" id="Group 1984703688" o:spid="_x0000_s1033" style="position:absolute;left:0;text-align:left;margin-left:117pt;margin-top:0;width:323.95pt;height:1.5pt;z-index:251659264" coordorigin="32889,37704" coordsize="41142,19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">
              <v:group id="Group 1779542211" o:spid="_x0000_s1034" style="position:absolute;left:32889;top:37704;width:41141;height:191" coordsize="41141,1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">
                <v:rect id="Rectangle 1391580354" o:spid="_x0000_s1035" style="position:absolute;width:41141;height:19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" filled="f" stroked="f">
                  <v:textbox inset="2.53958mm,2.53958mm,2.53958mm,2.53958mm">
                    <w:txbxContent>
                      <w:p w14:paraId="4E09584C" w14:textId="77777777" w:rsidR="006326C5" w:rsidRDefault="006326C5">
                        <w:pPr>
                          <w:textDirection w:val="btLr"/>
                        </w:pPr>
                      </w:p>
                    </w:txbxContent>
                  </v:textbox>
                </v:rect>
                <v:shape id="Freeform: Shape 298420805" o:spid="_x0000_s1036" style="position:absolute;top:95;width:41141;height:12;visibility:visible;mso-wrap-style:square;v-text-anchor:middle" coordsize="4114165,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" path="m,l4114165,e" filled="f" strokeweight="1.5pt">
                  <v:stroke startarrowwidth="narrow" startarrowlength="short" endarrowwidth="narrow" endarrowlength="short"/>
                  <v:path arrowok="t" o:extrusionok="f"/>
                </v:shape>
              </v:group>
            </v:group>
          </w:pict>
        </mc:Fallback>
      </mc:AlternateContent>
    </w:r>
    <w:r>
      <w:rPr>
        <w:noProof/>
      </w:rPr>
      <w:drawing>
        <wp:anchor distT="0" distB="0" distL="0" distR="0" simplePos="0" relativeHeight="251660288" behindDoc="0" locked="0" layoutInCell="1" hidden="0" allowOverlap="1" wp14:anchorId="08353E88" wp14:editId="7DACA631">
          <wp:simplePos x="0" y="0"/>
          <wp:positionH relativeFrom="column">
            <wp:posOffset>1637029</wp:posOffset>
          </wp:positionH>
          <wp:positionV relativeFrom="paragraph">
            <wp:posOffset>69133</wp:posOffset>
          </wp:positionV>
          <wp:extent cx="558800" cy="190500"/>
          <wp:effectExtent l="0" t="0" r="0" b="0"/>
          <wp:wrapNone/>
          <wp:docPr id="198470369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
                  <a:srcRect/>
                  <a:stretch>
                    <a:fillRect/>
                  </a:stretch>
                </pic:blipFill>
                <pic:spPr>
                  <a:xfrm>
                    <a:off x="0" y="0"/>
                    <a:ext cx="558800" cy="190500"/>
                  </a:xfrm>
                  <a:prstGeom prst="rect">
                    <a:avLst/>
                  </a:prstGeom>
                  <a:ln/>
                </pic:spPr>
              </pic:pic>
            </a:graphicData>
          </a:graphic>
        </wp:anchor>
      </w:drawing>
    </w:r>
  </w:p>
  <w:p w14:paraId="707A4A72" w14:textId="77777777" w:rsidR="006326C5" w:rsidRDefault="006326C5">
    <w:pPr>
      <w:pBdr>
        <w:top w:val="nil"/>
        <w:left w:val="nil"/>
        <w:bottom w:val="nil"/>
        <w:right w:val="nil"/>
        <w:between w:val="nil"/>
      </w:pBdr>
      <w:tabs>
        <w:tab w:val="center" w:pos="4680"/>
        <w:tab w:val="right" w:pos="9360"/>
      </w:tabs>
      <w:jc w:val="both"/>
      <w:rPr>
        <w:rFonts w:ascii="Times New Roman" w:eastAsia="Times New Roman" w:hAnsi="Times New Roman" w:cs="Times New Roman"/>
        <w:color w:val="000000"/>
        <w:sz w:val="24"/>
        <w:szCs w:val="24"/>
      </w:rPr>
    </w:pPr>
  </w:p>
  <w:p w14:paraId="1E86F30C" w14:textId="77777777" w:rsidR="006326C5" w:rsidRDefault="006326C5">
    <w:pPr>
      <w:pBdr>
        <w:top w:val="nil"/>
        <w:left w:val="nil"/>
        <w:bottom w:val="nil"/>
        <w:right w:val="nil"/>
        <w:between w:val="nil"/>
      </w:pBdr>
      <w:tabs>
        <w:tab w:val="center" w:pos="4680"/>
        <w:tab w:val="right" w:pos="9360"/>
      </w:tabs>
      <w:ind w:hanging="2"/>
      <w:jc w:val="both"/>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3D956" w14:textId="77777777" w:rsidR="002362D6" w:rsidRDefault="002362D6">
      <w:r>
        <w:separator/>
      </w:r>
    </w:p>
  </w:footnote>
  <w:footnote w:type="continuationSeparator" w:id="0">
    <w:p w14:paraId="4ADD3EA5" w14:textId="77777777" w:rsidR="002362D6" w:rsidRDefault="002362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9A2BA" w14:textId="77777777" w:rsidR="006326C5" w:rsidRDefault="006326C5">
    <w:pPr>
      <w:pBdr>
        <w:top w:val="nil"/>
        <w:left w:val="nil"/>
        <w:bottom w:val="nil"/>
        <w:right w:val="nil"/>
        <w:between w:val="nil"/>
      </w:pBdr>
      <w:tabs>
        <w:tab w:val="center" w:pos="4513"/>
        <w:tab w:val="right" w:pos="9026"/>
      </w:tabs>
      <w:ind w:hanging="2"/>
      <w:jc w:val="both"/>
      <w:rPr>
        <w:rFonts w:ascii="Times New Roman" w:eastAsia="Times New Roman" w:hAnsi="Times New Roman" w:cs="Times New Roman"/>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F65C2" w14:textId="77777777" w:rsidR="006326C5" w:rsidRDefault="00BF261B">
    <w:pPr>
      <w:spacing w:before="35"/>
      <w:ind w:left="20"/>
      <w:rPr>
        <w:rFonts w:ascii="FS Me Light" w:eastAsia="FS Me Light" w:hAnsi="FS Me Light" w:cs="FS Me Light"/>
        <w:color w:val="231916"/>
        <w:sz w:val="14"/>
        <w:szCs w:val="14"/>
      </w:rPr>
    </w:pPr>
    <w:r>
      <w:rPr>
        <w:noProof/>
      </w:rPr>
      <w:drawing>
        <wp:anchor distT="0" distB="0" distL="0" distR="0" simplePos="0" relativeHeight="251658240" behindDoc="1" locked="0" layoutInCell="1" hidden="0" allowOverlap="1" wp14:anchorId="72DB3919" wp14:editId="5F2A5796">
          <wp:simplePos x="0" y="0"/>
          <wp:positionH relativeFrom="column">
            <wp:posOffset>-714374</wp:posOffset>
          </wp:positionH>
          <wp:positionV relativeFrom="paragraph">
            <wp:posOffset>-394969</wp:posOffset>
          </wp:positionV>
          <wp:extent cx="7163039" cy="1592580"/>
          <wp:effectExtent l="0" t="0" r="0" b="0"/>
          <wp:wrapNone/>
          <wp:docPr id="198470369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163039" cy="1592580"/>
                  </a:xfrm>
                  <a:prstGeom prst="rect">
                    <a:avLst/>
                  </a:prstGeom>
                  <a:ln/>
                </pic:spPr>
              </pic:pic>
            </a:graphicData>
          </a:graphic>
        </wp:anchor>
      </w:drawing>
    </w:r>
  </w:p>
  <w:p w14:paraId="36BF9FA4" w14:textId="77777777" w:rsidR="006326C5" w:rsidRDefault="006326C5">
    <w:pPr>
      <w:spacing w:before="35"/>
      <w:ind w:left="20"/>
      <w:rPr>
        <w:rFonts w:ascii="FS Me Light" w:eastAsia="FS Me Light" w:hAnsi="FS Me Light" w:cs="FS Me Light"/>
        <w:color w:val="231916"/>
        <w:sz w:val="14"/>
        <w:szCs w:val="14"/>
      </w:rPr>
    </w:pPr>
  </w:p>
  <w:p w14:paraId="705C1A16" w14:textId="77777777" w:rsidR="006326C5" w:rsidRDefault="006326C5">
    <w:pPr>
      <w:spacing w:before="35"/>
      <w:ind w:left="20"/>
      <w:rPr>
        <w:rFonts w:ascii="FS Me Light" w:eastAsia="FS Me Light" w:hAnsi="FS Me Light" w:cs="FS Me Light"/>
        <w:color w:val="231916"/>
        <w:sz w:val="14"/>
        <w:szCs w:val="14"/>
      </w:rPr>
    </w:pPr>
  </w:p>
  <w:p w14:paraId="1861B116" w14:textId="77777777" w:rsidR="006326C5" w:rsidRDefault="006326C5">
    <w:pPr>
      <w:spacing w:before="35"/>
      <w:ind w:left="20"/>
      <w:rPr>
        <w:rFonts w:ascii="FS Me Light" w:eastAsia="FS Me Light" w:hAnsi="FS Me Light" w:cs="FS Me Light"/>
        <w:color w:val="231916"/>
        <w:sz w:val="14"/>
        <w:szCs w:val="14"/>
      </w:rPr>
    </w:pPr>
  </w:p>
  <w:p w14:paraId="76D34C77" w14:textId="77777777" w:rsidR="006326C5" w:rsidRDefault="006326C5">
    <w:pPr>
      <w:pBdr>
        <w:top w:val="nil"/>
        <w:left w:val="nil"/>
        <w:bottom w:val="nil"/>
        <w:right w:val="nil"/>
        <w:between w:val="nil"/>
      </w:pBdr>
      <w:tabs>
        <w:tab w:val="center" w:pos="4513"/>
        <w:tab w:val="right" w:pos="9026"/>
        <w:tab w:val="left" w:pos="2143"/>
        <w:tab w:val="right" w:pos="9027"/>
      </w:tabs>
      <w:ind w:hanging="2"/>
      <w:rPr>
        <w:rFonts w:ascii="Century Gothic" w:eastAsia="Century Gothic" w:hAnsi="Century Gothic" w:cs="Century Gothic"/>
        <w:color w:val="000000"/>
        <w:sz w:val="16"/>
        <w:szCs w:val="16"/>
      </w:rPr>
    </w:pPr>
  </w:p>
  <w:p w14:paraId="23296945" w14:textId="0EB91F63" w:rsidR="006326C5" w:rsidRDefault="00BF261B">
    <w:pPr>
      <w:pBdr>
        <w:top w:val="nil"/>
        <w:left w:val="nil"/>
        <w:bottom w:val="nil"/>
        <w:right w:val="nil"/>
        <w:between w:val="nil"/>
      </w:pBdr>
      <w:tabs>
        <w:tab w:val="center" w:pos="4513"/>
        <w:tab w:val="right" w:pos="9026"/>
        <w:tab w:val="left" w:pos="2143"/>
        <w:tab w:val="right" w:pos="9027"/>
      </w:tabs>
      <w:ind w:hanging="2"/>
      <w:rPr>
        <w:rFonts w:ascii="Cambria" w:eastAsia="Cambria" w:hAnsi="Cambria" w:cs="Cambria"/>
        <w:i/>
        <w:iCs/>
        <w:color w:val="000000"/>
        <w:sz w:val="24"/>
        <w:szCs w:val="24"/>
      </w:rPr>
    </w:pPr>
    <w:r>
      <w:rPr>
        <w:rFonts w:ascii="Century Gothic" w:eastAsia="Century Gothic" w:hAnsi="Century Gothic" w:cs="Century Gothic"/>
        <w:color w:val="000000"/>
        <w:sz w:val="16"/>
        <w:szCs w:val="16"/>
      </w:rPr>
      <w:t xml:space="preserve">Author et al., Journal of </w:t>
    </w:r>
    <w:proofErr w:type="spellStart"/>
    <w:r>
      <w:rPr>
        <w:rFonts w:ascii="Century Gothic" w:eastAsia="Century Gothic" w:hAnsi="Century Gothic" w:cs="Century Gothic"/>
        <w:color w:val="000000"/>
        <w:sz w:val="16"/>
        <w:szCs w:val="16"/>
      </w:rPr>
      <w:t>Sendratasik</w:t>
    </w:r>
    <w:proofErr w:type="spellEnd"/>
    <w:r>
      <w:rPr>
        <w:rFonts w:ascii="Century Gothic" w:eastAsia="Century Gothic" w:hAnsi="Century Gothic" w:cs="Century Gothic"/>
        <w:color w:val="000000"/>
        <w:sz w:val="16"/>
        <w:szCs w:val="16"/>
      </w:rPr>
      <w:t xml:space="preserve"> Education (202</w:t>
    </w:r>
    <w:r w:rsidR="00A13B32">
      <w:rPr>
        <w:rFonts w:ascii="Century Gothic" w:eastAsia="Century Gothic" w:hAnsi="Century Gothic" w:cs="Century Gothic"/>
        <w:color w:val="000000"/>
        <w:sz w:val="16"/>
        <w:szCs w:val="16"/>
      </w:rPr>
      <w:t>6</w:t>
    </w:r>
    <w:r>
      <w:rPr>
        <w:rFonts w:ascii="Century Gothic" w:eastAsia="Century Gothic" w:hAnsi="Century Gothic" w:cs="Century Gothic"/>
        <w:color w:val="000000"/>
        <w:sz w:val="16"/>
        <w:szCs w:val="16"/>
      </w:rPr>
      <w:t>)</w:t>
    </w:r>
  </w:p>
  <w:p w14:paraId="06B82F3F" w14:textId="77777777" w:rsidR="006326C5" w:rsidRDefault="00BF261B">
    <w:pPr>
      <w:pBdr>
        <w:top w:val="nil"/>
        <w:left w:val="nil"/>
        <w:bottom w:val="nil"/>
        <w:right w:val="nil"/>
        <w:between w:val="nil"/>
      </w:pBdr>
      <w:tabs>
        <w:tab w:val="center" w:pos="4513"/>
        <w:tab w:val="right" w:pos="9026"/>
      </w:tabs>
      <w:ind w:hanging="2"/>
      <w:rPr>
        <w:rFonts w:ascii="Times New Roman" w:eastAsia="Times New Roman" w:hAnsi="Times New Roman" w:cs="Times New Roman"/>
        <w:color w:val="000000"/>
        <w:sz w:val="24"/>
        <w:szCs w:val="24"/>
      </w:rPr>
    </w:pPr>
    <w:r>
      <w:rPr>
        <w:rFonts w:ascii="Century Gothic" w:eastAsia="Century Gothic" w:hAnsi="Century Gothic" w:cs="Century Gothic"/>
        <w:b/>
        <w:bCs/>
        <w:color w:val="000000"/>
        <w:sz w:val="16"/>
        <w:szCs w:val="16"/>
      </w:rPr>
      <w:t>https://doi.org/10.26740/vt.v1n1.p1xx-1xx</w:t>
    </w:r>
  </w:p>
  <w:p w14:paraId="62F939AF" w14:textId="77777777" w:rsidR="006326C5" w:rsidRDefault="006326C5">
    <w:pPr>
      <w:spacing w:before="35"/>
      <w:ind w:left="20"/>
      <w:rPr>
        <w:b/>
        <w:bCs/>
        <w:color w:val="231916"/>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BBD6A" w14:textId="390C1B2D" w:rsidR="006326C5" w:rsidRDefault="00BF261B">
    <w:pPr>
      <w:pBdr>
        <w:top w:val="nil"/>
        <w:left w:val="nil"/>
        <w:bottom w:val="nil"/>
        <w:right w:val="nil"/>
        <w:between w:val="nil"/>
      </w:pBdr>
      <w:tabs>
        <w:tab w:val="center" w:pos="4513"/>
        <w:tab w:val="right" w:pos="9026"/>
        <w:tab w:val="left" w:pos="2143"/>
        <w:tab w:val="right" w:pos="9027"/>
      </w:tabs>
      <w:ind w:hanging="2"/>
      <w:jc w:val="right"/>
      <w:rPr>
        <w:rFonts w:ascii="Cambria" w:eastAsia="Cambria" w:hAnsi="Cambria" w:cs="Cambria"/>
        <w:i/>
        <w:iCs/>
        <w:color w:val="000000"/>
        <w:sz w:val="24"/>
        <w:szCs w:val="24"/>
      </w:rPr>
    </w:pPr>
    <w:r>
      <w:rPr>
        <w:rFonts w:ascii="Century Gothic" w:eastAsia="Century Gothic" w:hAnsi="Century Gothic" w:cs="Century Gothic"/>
        <w:color w:val="000000"/>
        <w:sz w:val="16"/>
        <w:szCs w:val="16"/>
      </w:rPr>
      <w:t xml:space="preserve">Author et al., Journal of </w:t>
    </w:r>
    <w:proofErr w:type="spellStart"/>
    <w:r>
      <w:rPr>
        <w:rFonts w:ascii="Century Gothic" w:eastAsia="Century Gothic" w:hAnsi="Century Gothic" w:cs="Century Gothic"/>
        <w:color w:val="000000"/>
        <w:sz w:val="16"/>
        <w:szCs w:val="16"/>
      </w:rPr>
      <w:t>Sendratasik</w:t>
    </w:r>
    <w:proofErr w:type="spellEnd"/>
    <w:r>
      <w:rPr>
        <w:rFonts w:ascii="Century Gothic" w:eastAsia="Century Gothic" w:hAnsi="Century Gothic" w:cs="Century Gothic"/>
        <w:color w:val="000000"/>
        <w:sz w:val="16"/>
        <w:szCs w:val="16"/>
      </w:rPr>
      <w:t xml:space="preserve"> Education (202</w:t>
    </w:r>
    <w:r w:rsidR="00A13B32">
      <w:rPr>
        <w:rFonts w:ascii="Century Gothic" w:eastAsia="Century Gothic" w:hAnsi="Century Gothic" w:cs="Century Gothic"/>
        <w:color w:val="000000"/>
        <w:sz w:val="16"/>
        <w:szCs w:val="16"/>
      </w:rPr>
      <w:t>6</w:t>
    </w:r>
    <w:r>
      <w:rPr>
        <w:rFonts w:ascii="Century Gothic" w:eastAsia="Century Gothic" w:hAnsi="Century Gothic" w:cs="Century Gothic"/>
        <w:color w:val="000000"/>
        <w:sz w:val="16"/>
        <w:szCs w:val="16"/>
      </w:rPr>
      <w:t>)</w:t>
    </w:r>
  </w:p>
  <w:p w14:paraId="494E5816" w14:textId="77777777" w:rsidR="006326C5" w:rsidRDefault="00BF261B">
    <w:pPr>
      <w:pBdr>
        <w:top w:val="nil"/>
        <w:left w:val="nil"/>
        <w:bottom w:val="nil"/>
        <w:right w:val="nil"/>
        <w:between w:val="nil"/>
      </w:pBdr>
      <w:tabs>
        <w:tab w:val="center" w:pos="4513"/>
        <w:tab w:val="right" w:pos="9026"/>
      </w:tabs>
      <w:ind w:hanging="2"/>
      <w:jc w:val="right"/>
      <w:rPr>
        <w:rFonts w:ascii="Times New Roman" w:eastAsia="Times New Roman" w:hAnsi="Times New Roman" w:cs="Times New Roman"/>
        <w:color w:val="000000"/>
        <w:sz w:val="24"/>
        <w:szCs w:val="24"/>
      </w:rPr>
    </w:pPr>
    <w:r>
      <w:rPr>
        <w:rFonts w:ascii="Century Gothic" w:eastAsia="Century Gothic" w:hAnsi="Century Gothic" w:cs="Century Gothic"/>
        <w:b/>
        <w:bCs/>
        <w:color w:val="000000"/>
        <w:sz w:val="16"/>
        <w:szCs w:val="16"/>
      </w:rPr>
      <w:t>https://doi.org/10.26740/vt.v1n1.p1xx-1xx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00568C"/>
    <w:multiLevelType w:val="multilevel"/>
    <w:tmpl w:val="E8768E08"/>
    <w:lvl w:ilvl="0">
      <w:start w:val="1"/>
      <w:numFmt w:val="decimal"/>
      <w:pStyle w:val="ImajiTabl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22266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6C5"/>
    <w:rsid w:val="001D37AE"/>
    <w:rsid w:val="002362D6"/>
    <w:rsid w:val="002A3BD3"/>
    <w:rsid w:val="00455E7B"/>
    <w:rsid w:val="005B2324"/>
    <w:rsid w:val="006326C5"/>
    <w:rsid w:val="00923F43"/>
    <w:rsid w:val="00942B66"/>
    <w:rsid w:val="009968A7"/>
    <w:rsid w:val="00A13B32"/>
    <w:rsid w:val="00B446AF"/>
    <w:rsid w:val="00BF261B"/>
    <w:rsid w:val="00E463A0"/>
    <w:rsid w:val="00EB305A"/>
    <w:rsid w:val="00EB5C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FA410"/>
  <w15:docId w15:val="{BB954A17-01BC-4668-AA6A-2A2CD9C5E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ImajiAbstractBody"/>
    <w:next w:val="NormalImajiAbstractBody"/>
    <w:uiPriority w:val="9"/>
    <w:qFormat/>
    <w:pPr>
      <w:keepNext/>
      <w:spacing w:before="240" w:after="60"/>
    </w:pPr>
    <w:rPr>
      <w:rFonts w:ascii="Calibri Light" w:eastAsia="Times New Roman" w:hAnsi="Calibri Light" w:cs="Times New Roman"/>
      <w:b/>
      <w:bCs/>
      <w:kern w:val="32"/>
      <w:sz w:val="32"/>
      <w:szCs w:val="32"/>
    </w:rPr>
  </w:style>
  <w:style w:type="paragraph" w:styleId="Heading2">
    <w:name w:val="heading 2"/>
    <w:basedOn w:val="NormalImajiAbstractBody"/>
    <w:next w:val="NormalImajiAbstractBody"/>
    <w:uiPriority w:val="9"/>
    <w:unhideWhenUsed/>
    <w:qFormat/>
    <w:pPr>
      <w:keepNext/>
      <w:spacing w:before="240" w:after="60"/>
      <w:outlineLvl w:val="1"/>
    </w:pPr>
    <w:rPr>
      <w:rFonts w:eastAsia="Times New Roman"/>
      <w:b/>
      <w:bCs/>
      <w:i/>
      <w:iCs/>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customStyle="1" w:styleId="NormalImajiAbstractBody">
    <w:name w:val="Normal;Imaji_Abstract_Body"/>
    <w:pPr>
      <w:tabs>
        <w:tab w:val="left" w:pos="425"/>
      </w:tabs>
      <w:suppressAutoHyphens/>
      <w:spacing w:line="1" w:lineRule="atLeast"/>
      <w:ind w:leftChars="-1" w:left="-1" w:hangingChars="1" w:hanging="1"/>
      <w:contextualSpacing/>
      <w:jc w:val="both"/>
      <w:textDirection w:val="btLr"/>
      <w:textAlignment w:val="top"/>
      <w:outlineLvl w:val="0"/>
    </w:pPr>
    <w:rPr>
      <w:rFonts w:ascii="Times New Roman" w:hAnsi="Times New Roman"/>
      <w:position w:val="-1"/>
      <w:sz w:val="24"/>
      <w:szCs w:val="22"/>
    </w:rPr>
  </w:style>
  <w:style w:type="character" w:styleId="Hyperlink">
    <w:name w:val="Hyperlink"/>
    <w:qFormat/>
    <w:rPr>
      <w:color w:val="0000FF"/>
      <w:w w:val="100"/>
      <w:position w:val="-1"/>
      <w:u w:val="single"/>
      <w:effect w:val="none"/>
      <w:vertAlign w:val="baseline"/>
      <w:cs w:val="0"/>
      <w:em w:val="none"/>
    </w:rPr>
  </w:style>
  <w:style w:type="paragraph" w:customStyle="1" w:styleId="ImajiKeyword">
    <w:name w:val="Imaji_Keyword"/>
    <w:basedOn w:val="NormalImajiAbstractBody"/>
    <w:pPr>
      <w:widowControl w:val="0"/>
      <w:autoSpaceDE w:val="0"/>
      <w:autoSpaceDN w:val="0"/>
      <w:adjustRightInd w:val="0"/>
    </w:pPr>
    <w:rPr>
      <w:b/>
      <w:bCs/>
      <w:i/>
      <w:iCs/>
    </w:rPr>
  </w:style>
  <w:style w:type="paragraph" w:customStyle="1" w:styleId="ImajiAuthor">
    <w:name w:val="Imaji_Author"/>
    <w:basedOn w:val="NormalImajiAbstractBody"/>
    <w:pPr>
      <w:widowControl w:val="0"/>
      <w:autoSpaceDE w:val="0"/>
      <w:autoSpaceDN w:val="0"/>
      <w:adjustRightInd w:val="0"/>
      <w:spacing w:line="239" w:lineRule="auto"/>
      <w:ind w:right="49"/>
      <w:jc w:val="center"/>
    </w:pPr>
    <w:rPr>
      <w:bCs/>
      <w:spacing w:val="2"/>
    </w:rPr>
  </w:style>
  <w:style w:type="character" w:customStyle="1" w:styleId="ImajiKeywordChar">
    <w:name w:val="Imaji_Keyword Char"/>
    <w:rPr>
      <w:rFonts w:ascii="Times New Roman" w:eastAsia="Calibri" w:hAnsi="Times New Roman" w:cs="Times New Roman"/>
      <w:b/>
      <w:bCs/>
      <w:i/>
      <w:iCs/>
      <w:w w:val="100"/>
      <w:position w:val="-1"/>
      <w:szCs w:val="22"/>
      <w:effect w:val="none"/>
      <w:vertAlign w:val="baseline"/>
      <w:cs w:val="0"/>
      <w:em w:val="none"/>
      <w:lang w:val="en"/>
    </w:rPr>
  </w:style>
  <w:style w:type="paragraph" w:customStyle="1" w:styleId="ImajiTitle">
    <w:name w:val="Imaji_Title"/>
    <w:basedOn w:val="NormalImajiAbstractBody"/>
    <w:pPr>
      <w:widowControl w:val="0"/>
      <w:autoSpaceDE w:val="0"/>
      <w:autoSpaceDN w:val="0"/>
      <w:adjustRightInd w:val="0"/>
      <w:jc w:val="center"/>
    </w:pPr>
    <w:rPr>
      <w:b/>
      <w:bCs/>
      <w:spacing w:val="-5"/>
      <w:szCs w:val="20"/>
    </w:rPr>
  </w:style>
  <w:style w:type="character" w:customStyle="1" w:styleId="ImajiAuthorChar">
    <w:name w:val="Imaji_Author Char"/>
    <w:rPr>
      <w:rFonts w:ascii="Times New Roman" w:eastAsia="Calibri" w:hAnsi="Times New Roman" w:cs="Times New Roman"/>
      <w:bCs/>
      <w:spacing w:val="2"/>
      <w:w w:val="100"/>
      <w:position w:val="-1"/>
      <w:szCs w:val="22"/>
      <w:effect w:val="none"/>
      <w:vertAlign w:val="baseline"/>
      <w:cs w:val="0"/>
      <w:em w:val="none"/>
      <w:lang w:val="en"/>
    </w:rPr>
  </w:style>
  <w:style w:type="character" w:customStyle="1" w:styleId="ImajiTitleChar">
    <w:name w:val="Imaji_Title Char"/>
    <w:rPr>
      <w:rFonts w:ascii="Times New Roman" w:eastAsia="Calibri" w:hAnsi="Times New Roman" w:cs="Times New Roman"/>
      <w:b/>
      <w:bCs/>
      <w:spacing w:val="-5"/>
      <w:w w:val="100"/>
      <w:position w:val="-1"/>
      <w:szCs w:val="20"/>
      <w:effect w:val="none"/>
      <w:vertAlign w:val="baseline"/>
      <w:cs w:val="0"/>
      <w:em w:val="none"/>
      <w:lang w:val="en"/>
    </w:rPr>
  </w:style>
  <w:style w:type="character" w:styleId="FollowedHyperlink">
    <w:name w:val="FollowedHyperlink"/>
    <w:qFormat/>
    <w:rPr>
      <w:color w:val="954F72"/>
      <w:w w:val="100"/>
      <w:position w:val="-1"/>
      <w:u w:val="single"/>
      <w:effect w:val="none"/>
      <w:vertAlign w:val="baseline"/>
      <w:cs w:val="0"/>
      <w:em w:val="none"/>
    </w:rPr>
  </w:style>
  <w:style w:type="paragraph" w:customStyle="1" w:styleId="ImajiTable">
    <w:name w:val="Imaji_Table"/>
    <w:basedOn w:val="NormalImajiAbstractBody"/>
    <w:pPr>
      <w:numPr>
        <w:numId w:val="1"/>
      </w:numPr>
      <w:spacing w:before="240" w:after="120"/>
      <w:ind w:left="850" w:hanging="493"/>
      <w:jc w:val="center"/>
    </w:pPr>
    <w:rPr>
      <w:szCs w:val="24"/>
    </w:rPr>
  </w:style>
  <w:style w:type="paragraph" w:customStyle="1" w:styleId="EndNoteBibliography">
    <w:name w:val="EndNote Bibliography"/>
    <w:basedOn w:val="NormalImajiAbstractBody"/>
    <w:rPr>
      <w:noProof/>
      <w:szCs w:val="20"/>
    </w:rPr>
  </w:style>
  <w:style w:type="character" w:customStyle="1" w:styleId="EndNoteBibliographyChar">
    <w:name w:val="EndNote Bibliography Char"/>
    <w:rPr>
      <w:rFonts w:ascii="Times New Roman" w:eastAsia="Calibri" w:hAnsi="Times New Roman" w:cs="Times New Roman"/>
      <w:noProof/>
      <w:w w:val="100"/>
      <w:position w:val="-1"/>
      <w:szCs w:val="20"/>
      <w:effect w:val="none"/>
      <w:vertAlign w:val="baseline"/>
      <w:cs w:val="0"/>
      <w:em w:val="none"/>
    </w:rPr>
  </w:style>
  <w:style w:type="paragraph" w:styleId="Header">
    <w:name w:val="header"/>
    <w:basedOn w:val="NormalImajiAbstractBody"/>
    <w:qFormat/>
    <w:pPr>
      <w:tabs>
        <w:tab w:val="center" w:pos="4513"/>
        <w:tab w:val="right" w:pos="9026"/>
      </w:tabs>
    </w:pPr>
    <w:rPr>
      <w:szCs w:val="20"/>
    </w:rPr>
  </w:style>
  <w:style w:type="character" w:customStyle="1" w:styleId="HeaderChar">
    <w:name w:val="Header Char"/>
    <w:rPr>
      <w:rFonts w:ascii="Times New Roman" w:eastAsia="Calibri" w:hAnsi="Times New Roman" w:cs="Times New Roman"/>
      <w:w w:val="100"/>
      <w:position w:val="-1"/>
      <w:szCs w:val="20"/>
      <w:effect w:val="none"/>
      <w:vertAlign w:val="baseline"/>
      <w:cs w:val="0"/>
      <w:em w:val="none"/>
      <w:lang w:val="en"/>
    </w:rPr>
  </w:style>
  <w:style w:type="character" w:customStyle="1" w:styleId="Heading1Char">
    <w:name w:val="Heading 1 Char"/>
    <w:rPr>
      <w:rFonts w:ascii="Calibri Light" w:eastAsia="Times New Roman" w:hAnsi="Calibri Light" w:cs="Times New Roman"/>
      <w:b/>
      <w:bCs/>
      <w:w w:val="100"/>
      <w:kern w:val="32"/>
      <w:position w:val="-1"/>
      <w:sz w:val="32"/>
      <w:szCs w:val="32"/>
      <w:effect w:val="none"/>
      <w:vertAlign w:val="baseline"/>
      <w:cs w:val="0"/>
      <w:em w:val="none"/>
      <w:lang w:val="en"/>
    </w:rPr>
  </w:style>
  <w:style w:type="character" w:customStyle="1" w:styleId="Heading2Char">
    <w:name w:val="Heading 2 Char"/>
    <w:rPr>
      <w:rFonts w:ascii="Times New Roman" w:eastAsia="Times New Roman" w:hAnsi="Times New Roman"/>
      <w:b/>
      <w:bCs/>
      <w:i/>
      <w:iCs/>
      <w:w w:val="100"/>
      <w:position w:val="-1"/>
      <w:sz w:val="28"/>
      <w:szCs w:val="28"/>
      <w:effect w:val="none"/>
      <w:vertAlign w:val="baseline"/>
      <w:cs w:val="0"/>
      <w:em w:val="none"/>
      <w:lang w:val="en"/>
    </w:rPr>
  </w:style>
  <w:style w:type="paragraph" w:styleId="Caption">
    <w:name w:val="caption"/>
    <w:basedOn w:val="NormalImajiAbstractBody"/>
    <w:next w:val="NormalImajiAbstractBody"/>
    <w:rPr>
      <w:b/>
      <w:bCs/>
      <w:sz w:val="20"/>
      <w:szCs w:val="20"/>
    </w:rPr>
  </w:style>
  <w:style w:type="paragraph" w:styleId="Footer">
    <w:name w:val="footer"/>
    <w:basedOn w:val="NormalImajiAbstractBody"/>
    <w:qFormat/>
    <w:pPr>
      <w:tabs>
        <w:tab w:val="clear" w:pos="425"/>
        <w:tab w:val="center" w:pos="4680"/>
        <w:tab w:val="right" w:pos="9360"/>
      </w:tabs>
    </w:pPr>
  </w:style>
  <w:style w:type="character" w:customStyle="1" w:styleId="FooterChar">
    <w:name w:val="Footer Char"/>
    <w:rPr>
      <w:rFonts w:ascii="Times New Roman" w:hAnsi="Times New Roman"/>
      <w:w w:val="100"/>
      <w:position w:val="-1"/>
      <w:sz w:val="24"/>
      <w:szCs w:val="22"/>
      <w:effect w:val="none"/>
      <w:vertAlign w:val="baseline"/>
      <w:cs w:val="0"/>
      <w:em w:val="none"/>
      <w:lang w:val="en"/>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 w:type="character" w:styleId="PlaceholderText">
    <w:name w:val="Placeholder Text"/>
    <w:basedOn w:val="DefaultParagraphFont"/>
    <w:uiPriority w:val="99"/>
    <w:semiHidden/>
    <w:rsid w:val="00EA3287"/>
    <w:rPr>
      <w:color w:val="808080"/>
    </w:rPr>
  </w:style>
  <w:style w:type="table" w:customStyle="1" w:styleId="a0">
    <w:basedOn w:val="TableNormal"/>
    <w:tblPr>
      <w:tblStyleRowBandSize w:val="1"/>
      <w:tblStyleColBandSize w:val="1"/>
    </w:tblPr>
  </w:style>
  <w:style w:type="paragraph" w:styleId="ListParagraph">
    <w:name w:val="List Paragraph"/>
    <w:basedOn w:val="Normal"/>
    <w:uiPriority w:val="34"/>
    <w:qFormat/>
    <w:rsid w:val="00455E7B"/>
    <w:pPr>
      <w:spacing w:after="160" w:line="278" w:lineRule="auto"/>
      <w:ind w:left="720"/>
      <w:contextualSpacing/>
    </w:pPr>
    <w:rPr>
      <w:rFonts w:asciiTheme="minorHAnsi" w:eastAsiaTheme="minorEastAsia" w:hAnsiTheme="minorHAnsi" w:cstheme="minorBidi"/>
      <w:kern w:val="2"/>
      <w:sz w:val="24"/>
      <w:szCs w:val="24"/>
      <w:lang w:eastAsia="id-ID"/>
      <w14:ligatures w14:val="standardContextual"/>
    </w:rPr>
  </w:style>
  <w:style w:type="character" w:styleId="UnresolvedMention">
    <w:name w:val="Unresolved Mention"/>
    <w:basedOn w:val="DefaultParagraphFont"/>
    <w:uiPriority w:val="99"/>
    <w:semiHidden/>
    <w:unhideWhenUsed/>
    <w:rsid w:val="00A13B32"/>
    <w:rPr>
      <w:color w:val="605E5C"/>
      <w:shd w:val="clear" w:color="auto" w:fill="E1DFDD"/>
    </w:rPr>
  </w:style>
  <w:style w:type="paragraph" w:styleId="NormalWeb">
    <w:name w:val="Normal (Web)"/>
    <w:basedOn w:val="Normal"/>
    <w:uiPriority w:val="99"/>
    <w:semiHidden/>
    <w:unhideWhenUsed/>
    <w:rsid w:val="00A13B32"/>
    <w:pPr>
      <w:spacing w:before="100" w:beforeAutospacing="1" w:after="100" w:afterAutospacing="1"/>
    </w:pPr>
    <w:rPr>
      <w:rFonts w:ascii="Times New Roman" w:eastAsia="Times New Roman" w:hAnsi="Times New Roman" w:cs="Times New Roman"/>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heigit07@gmail.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4"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D7p5oygu5w3/BbbVAyN1EARfyA==">CgMxLjA4AHIhMTR2ek1kWW5sam1OZnFFbVd6eHFBcFVOSnlRMDgxX0pM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5912</Words>
  <Characters>33700</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VirtuosoEditor</dc:creator>
  <cp:lastModifiedBy>Microsoft Office User</cp:lastModifiedBy>
  <cp:revision>3</cp:revision>
  <dcterms:created xsi:type="dcterms:W3CDTF">2026-06-22T15:27:00Z</dcterms:created>
  <dcterms:modified xsi:type="dcterms:W3CDTF">2026-06-29T02:41:00Z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documentId_327</vt:lpwstr>
  </property>
  <property fmtid="{D5CDD505-2E9C-101B-9397-08002B2CF9AE}" pid="3" name="grammarly_documentContext">
    <vt:lpwstr>{"goals":[],"domain":"general","emotions":[],"dialect":"american"}</vt:lpwstr>
  </property>
</Properties>
</file>