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3DA8F3" w14:textId="329F16DD" w:rsidR="00627A8F" w:rsidRDefault="00000000" w:rsidP="00206075">
      <w:pPr>
        <w:widowControl w:val="0"/>
        <w:pBdr>
          <w:top w:val="nil"/>
          <w:left w:val="nil"/>
          <w:bottom w:val="nil"/>
          <w:right w:val="nil"/>
          <w:between w:val="nil"/>
        </w:pBdr>
        <w:ind w:left="2268"/>
        <w:rPr>
          <w:rFonts w:ascii="Century Gothic" w:eastAsia="Century Gothic" w:hAnsi="Century Gothic" w:cs="Century Gothic"/>
          <w:b/>
          <w:bCs/>
          <w:color w:val="000000"/>
          <w:sz w:val="28"/>
          <w:szCs w:val="28"/>
        </w:rPr>
      </w:pPr>
      <w:r>
        <w:rPr>
          <w:noProof/>
        </w:rPr>
        <mc:AlternateContent>
          <mc:Choice Requires="wpg">
            <w:drawing>
              <wp:anchor distT="0" distB="0" distL="114300" distR="114300" simplePos="0" relativeHeight="251658240" behindDoc="0" locked="0" layoutInCell="1" hidden="0" allowOverlap="1" wp14:anchorId="22C41A40" wp14:editId="582FBBD3">
                <wp:simplePos x="0" y="0"/>
                <wp:positionH relativeFrom="column">
                  <wp:posOffset>1333500</wp:posOffset>
                </wp:positionH>
                <wp:positionV relativeFrom="paragraph">
                  <wp:posOffset>38100</wp:posOffset>
                </wp:positionV>
                <wp:extent cx="12700" cy="2883877"/>
                <wp:effectExtent l="0" t="0" r="0" b="0"/>
                <wp:wrapNone/>
                <wp:docPr id="2" name="Straight Arrow Connector 2"/>
                <wp:cNvGraphicFramePr/>
                <a:graphic xmlns:a="http://schemas.openxmlformats.org/drawingml/2006/main">
                  <a:graphicData uri="http://schemas.microsoft.com/office/word/2010/wordprocessingShape">
                    <wps:wsp>
                      <wps:cNvCnPr/>
                      <wps:spPr>
                        <a:xfrm>
                          <a:off x="5346000" y="2338062"/>
                          <a:ext cx="0" cy="2883877"/>
                        </a:xfrm>
                        <a:prstGeom prst="straightConnector1">
                          <a:avLst/>
                        </a:prstGeom>
                        <a:noFill/>
                        <a:ln w="9525" cap="flat" cmpd="sng">
                          <a:solidFill>
                            <a:srgbClr val="FFC000"/>
                          </a:solidFill>
                          <a:prstDash val="solid"/>
                          <a:round/>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1333500</wp:posOffset>
                </wp:positionH>
                <wp:positionV relativeFrom="paragraph">
                  <wp:posOffset>38100</wp:posOffset>
                </wp:positionV>
                <wp:extent cx="12700" cy="2883877"/>
                <wp:effectExtent b="0" l="0" r="0" t="0"/>
                <wp:wrapNone/>
                <wp:docPr id="2" name="image7.png"/>
                <a:graphic>
                  <a:graphicData uri="http://schemas.openxmlformats.org/drawingml/2006/picture">
                    <pic:pic>
                      <pic:nvPicPr>
                        <pic:cNvPr id="0" name="image7.png"/>
                        <pic:cNvPicPr preferRelativeResize="0"/>
                      </pic:nvPicPr>
                      <pic:blipFill>
                        <a:blip r:embed="rId6"/>
                        <a:srcRect/>
                        <a:stretch>
                          <a:fillRect/>
                        </a:stretch>
                      </pic:blipFill>
                      <pic:spPr>
                        <a:xfrm>
                          <a:off x="0" y="0"/>
                          <a:ext cx="12700" cy="2883877"/>
                        </a:xfrm>
                        <a:prstGeom prst="rect"/>
                        <a:ln/>
                      </pic:spPr>
                    </pic:pic>
                  </a:graphicData>
                </a:graphic>
              </wp:anchor>
            </w:drawing>
          </mc:Fallback>
        </mc:AlternateContent>
      </w:r>
      <w:r>
        <w:rPr>
          <w:noProof/>
        </w:rPr>
        <w:drawing>
          <wp:anchor distT="0" distB="0" distL="114300" distR="114300" simplePos="0" relativeHeight="251659264" behindDoc="0" locked="0" layoutInCell="1" hidden="0" allowOverlap="1" wp14:anchorId="3A457ECB" wp14:editId="171E163A">
            <wp:simplePos x="0" y="0"/>
            <wp:positionH relativeFrom="column">
              <wp:posOffset>-767714</wp:posOffset>
            </wp:positionH>
            <wp:positionV relativeFrom="paragraph">
              <wp:posOffset>91468</wp:posOffset>
            </wp:positionV>
            <wp:extent cx="2013708" cy="480060"/>
            <wp:effectExtent l="0" t="0" r="0" b="0"/>
            <wp:wrapNone/>
            <wp:docPr id="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7"/>
                    <a:srcRect/>
                    <a:stretch>
                      <a:fillRect/>
                    </a:stretch>
                  </pic:blipFill>
                  <pic:spPr>
                    <a:xfrm>
                      <a:off x="0" y="0"/>
                      <a:ext cx="2013708" cy="480060"/>
                    </a:xfrm>
                    <a:prstGeom prst="rect">
                      <a:avLst/>
                    </a:prstGeom>
                    <a:ln/>
                  </pic:spPr>
                </pic:pic>
              </a:graphicData>
            </a:graphic>
          </wp:anchor>
        </w:drawing>
      </w:r>
      <w:r w:rsidR="00206075" w:rsidRPr="00206075">
        <w:rPr>
          <w:rFonts w:ascii="Century Gothic" w:eastAsia="Century Gothic" w:hAnsi="Century Gothic" w:cs="Century Gothic"/>
          <w:b/>
          <w:bCs/>
          <w:color w:val="000000"/>
          <w:sz w:val="28"/>
          <w:szCs w:val="28"/>
          <w:highlight w:val="white"/>
        </w:rPr>
        <w:t>Imitation and Drill Methods in Wanci Kahuripan Dance Learning</w:t>
      </w:r>
    </w:p>
    <w:p w14:paraId="608733D7" w14:textId="77777777" w:rsidR="00627A8F" w:rsidRDefault="00000000">
      <w:pPr>
        <w:widowControl w:val="0"/>
        <w:pBdr>
          <w:top w:val="nil"/>
          <w:left w:val="nil"/>
          <w:bottom w:val="nil"/>
          <w:right w:val="nil"/>
          <w:between w:val="nil"/>
        </w:pBdr>
        <w:spacing w:before="15"/>
        <w:ind w:left="2268"/>
        <w:rPr>
          <w:rFonts w:ascii="Century Gothic" w:eastAsia="Century Gothic" w:hAnsi="Century Gothic" w:cs="Century Gothic"/>
          <w:color w:val="000000"/>
          <w:sz w:val="24"/>
          <w:szCs w:val="24"/>
        </w:rPr>
      </w:pPr>
      <w:r>
        <w:rPr>
          <w:noProof/>
        </w:rPr>
        <mc:AlternateContent>
          <mc:Choice Requires="wps">
            <w:drawing>
              <wp:anchor distT="0" distB="0" distL="114300" distR="114300" simplePos="0" relativeHeight="251660288" behindDoc="0" locked="0" layoutInCell="1" hidden="0" allowOverlap="1" wp14:anchorId="784778CC" wp14:editId="68F2201F">
                <wp:simplePos x="0" y="0"/>
                <wp:positionH relativeFrom="column">
                  <wp:posOffset>-431799</wp:posOffset>
                </wp:positionH>
                <wp:positionV relativeFrom="paragraph">
                  <wp:posOffset>254000</wp:posOffset>
                </wp:positionV>
                <wp:extent cx="1637030" cy="2347595"/>
                <wp:effectExtent l="0" t="0" r="0" b="0"/>
                <wp:wrapNone/>
                <wp:docPr id="3" name="Rectangle 3"/>
                <wp:cNvGraphicFramePr/>
                <a:graphic xmlns:a="http://schemas.openxmlformats.org/drawingml/2006/main">
                  <a:graphicData uri="http://schemas.microsoft.com/office/word/2010/wordprocessingShape">
                    <wps:wsp>
                      <wps:cNvSpPr/>
                      <wps:spPr>
                        <a:xfrm>
                          <a:off x="4532248" y="2610965"/>
                          <a:ext cx="1627505" cy="2338070"/>
                        </a:xfrm>
                        <a:prstGeom prst="rect">
                          <a:avLst/>
                        </a:prstGeom>
                        <a:noFill/>
                        <a:ln>
                          <a:noFill/>
                        </a:ln>
                      </wps:spPr>
                      <wps:txbx>
                        <w:txbxContent>
                          <w:p w14:paraId="13C09A6B" w14:textId="77777777" w:rsidR="00627A8F" w:rsidRDefault="00000000">
                            <w:pPr>
                              <w:ind w:left="106" w:firstLine="106"/>
                              <w:textDirection w:val="btLr"/>
                            </w:pPr>
                            <w:r>
                              <w:rPr>
                                <w:color w:val="231916"/>
                                <w:sz w:val="14"/>
                              </w:rPr>
                              <w:t>E-ISSN 2338-6770</w:t>
                            </w:r>
                          </w:p>
                          <w:p w14:paraId="5EF0B550" w14:textId="77777777" w:rsidR="00627A8F" w:rsidRDefault="00627A8F">
                            <w:pPr>
                              <w:spacing w:before="11"/>
                              <w:textDirection w:val="btLr"/>
                            </w:pPr>
                          </w:p>
                          <w:p w14:paraId="5368B1FA" w14:textId="77777777" w:rsidR="00627A8F" w:rsidRDefault="00000000">
                            <w:pPr>
                              <w:ind w:left="106" w:firstLine="106"/>
                              <w:textDirection w:val="btLr"/>
                            </w:pPr>
                            <w:r>
                              <w:rPr>
                                <w:rFonts w:ascii="FS Me Light" w:eastAsia="FS Me Light" w:hAnsi="FS Me Light" w:cs="FS Me Light"/>
                                <w:color w:val="231916"/>
                                <w:sz w:val="14"/>
                              </w:rPr>
                              <w:t>Date of submission :-</w:t>
                            </w:r>
                          </w:p>
                          <w:p w14:paraId="72809D95" w14:textId="77777777" w:rsidR="00627A8F" w:rsidRDefault="00000000">
                            <w:pPr>
                              <w:spacing w:before="53"/>
                              <w:ind w:left="106" w:firstLine="106"/>
                              <w:textDirection w:val="btLr"/>
                            </w:pPr>
                            <w:r>
                              <w:rPr>
                                <w:rFonts w:ascii="FS Me Light" w:eastAsia="FS Me Light" w:hAnsi="FS Me Light" w:cs="FS Me Light"/>
                                <w:color w:val="231916"/>
                                <w:sz w:val="14"/>
                              </w:rPr>
                              <w:t>Date of revision :-</w:t>
                            </w:r>
                          </w:p>
                          <w:p w14:paraId="4B2A4E32" w14:textId="77777777" w:rsidR="00627A8F" w:rsidRDefault="00000000">
                            <w:pPr>
                              <w:spacing w:before="53"/>
                              <w:ind w:left="106" w:firstLine="106"/>
                              <w:textDirection w:val="btLr"/>
                            </w:pPr>
                            <w:r>
                              <w:rPr>
                                <w:rFonts w:ascii="FS Me Light" w:eastAsia="FS Me Light" w:hAnsi="FS Me Light" w:cs="FS Me Light"/>
                                <w:color w:val="231916"/>
                                <w:sz w:val="14"/>
                              </w:rPr>
                              <w:t>Date received :-</w:t>
                            </w:r>
                          </w:p>
                          <w:p w14:paraId="3106B1C0" w14:textId="77777777" w:rsidR="00627A8F" w:rsidRDefault="00627A8F">
                            <w:pPr>
                              <w:spacing w:before="10"/>
                              <w:textDirection w:val="btLr"/>
                            </w:pPr>
                          </w:p>
                          <w:p w14:paraId="68DDE791" w14:textId="77777777" w:rsidR="00627A8F" w:rsidRDefault="00000000">
                            <w:pPr>
                              <w:spacing w:line="316" w:lineRule="auto"/>
                              <w:ind w:left="106" w:right="44" w:firstLine="106"/>
                              <w:textDirection w:val="btLr"/>
                            </w:pPr>
                            <w:r>
                              <w:rPr>
                                <w:rFonts w:ascii="FS Me Light" w:eastAsia="FS Me Light" w:hAnsi="FS Me Light" w:cs="FS Me Light"/>
                                <w:color w:val="231916"/>
                                <w:sz w:val="14"/>
                              </w:rPr>
                              <w:t xml:space="preserve">Correspondence Address: </w:t>
                            </w:r>
                          </w:p>
                          <w:p w14:paraId="24099732" w14:textId="77777777" w:rsidR="00627A8F" w:rsidRDefault="00000000">
                            <w:pPr>
                              <w:textDirection w:val="btLr"/>
                            </w:pPr>
                            <w:r>
                              <w:rPr>
                                <w:rFonts w:ascii="FS Me Light" w:eastAsia="FS Me Light" w:hAnsi="FS Me Light" w:cs="FS Me Light"/>
                                <w:color w:val="231916"/>
                                <w:sz w:val="14"/>
                              </w:rPr>
                              <w:t xml:space="preserve">Thai Studies, Faculty of Arts, Chulalongkorn University 254 Phaya Thai Rd, Wang Mai, Pathum Wan, Bangkok 10330. Email: </w:t>
                            </w:r>
                            <w:r>
                              <w:rPr>
                                <w:rFonts w:ascii="FS Me Light" w:eastAsia="FS Me Light" w:hAnsi="FS Me Light" w:cs="FS Me Light"/>
                                <w:color w:val="0000C4"/>
                                <w:sz w:val="14"/>
                                <w:u w:val="single"/>
                              </w:rPr>
                              <w:t>6688031022@student.chula.ac.th</w:t>
                            </w:r>
                          </w:p>
                        </w:txbxContent>
                      </wps:txbx>
                      <wps:bodyPr spcFirstLastPara="1" wrap="square" lIns="91425" tIns="91425" rIns="91425" bIns="91425" anchor="ctr" anchorCtr="0">
                        <a:noAutofit/>
                      </wps:bodyPr>
                    </wps:wsp>
                  </a:graphicData>
                </a:graphic>
              </wp:anchor>
            </w:drawing>
          </mc:Choice>
          <mc:Fallback>
            <w:pict>
              <v:rect w14:anchorId="784778CC" id="Rectangle 3" o:spid="_x0000_s1026" style="position:absolute;left:0;text-align:left;margin-left:-34pt;margin-top:20pt;width:128.9pt;height:184.8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9KGfuQEAAF0DAAAOAAAAZHJzL2Uyb0RvYy54bWysU9tu2zAMfR+wfxD0vviSS1sjTjGsyDCg&#10;2AJ0+wBFlmIBtqSRSuz8/Sg5bbLtbdiLLFLE4TmH9Ppx7Dt2UoDG2ZoXs5wzZaVrjD3U/Mf37Yd7&#10;zjAI24jOWVXzs0L+uHn/bj34SpWudV2jgBGIxWrwNW9D8FWWoWxVL3DmvLL0qB30IlAIh6wBMRB6&#10;32Vlnq+ywUHjwUmFSNmn6ZFvEr7WSoZvWqMKrKs5cQvphHTu45lt1qI6gPCtkRca4h9Y9MJYavoG&#10;9SSCYEcwf0H1RoJDp8NMuj5zWhupkgZSU+R/qHlphVdJC5mD/s0m/H+w8uvpxe+AbBg8VkjXqGLU&#10;0Mcv8WNjzRfLeVkuaJLnmperIn9YLSfj1BiYpIJiVd4t8yVnMlbM5/f5XbI2u0J5wPBZuZ7FS82B&#10;JpMME6dnDNSeSl9LYmfrtqbr0nQ6+1uCCmMmu/KNtzDux4uIvWvOO2Do5dZQr2eBYSeAplpwNtCk&#10;a44/jwIUZ90XS1Y+FIuSqIfbAG6D/W0grGwdLZAMwNkUfAppoSaWH4/BaZMURV4TmQtdmmESetm3&#10;uCS3caq6/hWbXwAAAP//AwBQSwMEFAAGAAgAAAAhANXSR8PdAAAACgEAAA8AAABkcnMvZG93bnJl&#10;di54bWxMj0FPhDAQhe8m/odmTLztFskGASkbNXrQk7L+gIGOlEhbpN1d/PcOJz1NZt7Lm+9V+8WO&#10;4kRzGLxTcLNNQJDrvB5cr+Dj8LzJQYSITuPoHSn4oQD7+vKiwlL7s3unUxN7wSEulKjAxDiVUobO&#10;kMWw9RM51j79bDHyOvdSz3jmcDvKNEkyaXFw/MHgRI+Guq/maBW87TylT2l4aHpbmKU9vL58Y6bU&#10;9dVyfwci0hL/zLDiMzrUzNT6o9NBjAo2Wc5dooJdwnM15AV3addDcQuyruT/CvUvAAAA//8DAFBL&#10;AQItABQABgAIAAAAIQC2gziS/gAAAOEBAAATAAAAAAAAAAAAAAAAAAAAAABbQ29udGVudF9UeXBl&#10;c10ueG1sUEsBAi0AFAAGAAgAAAAhADj9If/WAAAAlAEAAAsAAAAAAAAAAAAAAAAALwEAAF9yZWxz&#10;Ly5yZWxzUEsBAi0AFAAGAAgAAAAhAP30oZ+5AQAAXQMAAA4AAAAAAAAAAAAAAAAALgIAAGRycy9l&#10;Mm9Eb2MueG1sUEsBAi0AFAAGAAgAAAAhANXSR8PdAAAACgEAAA8AAAAAAAAAAAAAAAAAEwQAAGRy&#10;cy9kb3ducmV2LnhtbFBLBQYAAAAABAAEAPMAAAAdBQAAAAA=&#10;" filled="f" stroked="f">
                <v:textbox inset="2.53958mm,2.53958mm,2.53958mm,2.53958mm">
                  <w:txbxContent>
                    <w:p w14:paraId="13C09A6B" w14:textId="77777777" w:rsidR="00627A8F" w:rsidRDefault="00000000">
                      <w:pPr>
                        <w:ind w:left="106" w:firstLine="106"/>
                        <w:textDirection w:val="btLr"/>
                      </w:pPr>
                      <w:r>
                        <w:rPr>
                          <w:color w:val="231916"/>
                          <w:sz w:val="14"/>
                        </w:rPr>
                        <w:t>E-ISSN 2338-6770</w:t>
                      </w:r>
                    </w:p>
                    <w:p w14:paraId="5EF0B550" w14:textId="77777777" w:rsidR="00627A8F" w:rsidRDefault="00627A8F">
                      <w:pPr>
                        <w:spacing w:before="11"/>
                        <w:textDirection w:val="btLr"/>
                      </w:pPr>
                    </w:p>
                    <w:p w14:paraId="5368B1FA" w14:textId="77777777" w:rsidR="00627A8F" w:rsidRDefault="00000000">
                      <w:pPr>
                        <w:ind w:left="106" w:firstLine="106"/>
                        <w:textDirection w:val="btLr"/>
                      </w:pPr>
                      <w:r>
                        <w:rPr>
                          <w:rFonts w:ascii="FS Me Light" w:eastAsia="FS Me Light" w:hAnsi="FS Me Light" w:cs="FS Me Light"/>
                          <w:color w:val="231916"/>
                          <w:sz w:val="14"/>
                        </w:rPr>
                        <w:t>Date of submission :-</w:t>
                      </w:r>
                    </w:p>
                    <w:p w14:paraId="72809D95" w14:textId="77777777" w:rsidR="00627A8F" w:rsidRDefault="00000000">
                      <w:pPr>
                        <w:spacing w:before="53"/>
                        <w:ind w:left="106" w:firstLine="106"/>
                        <w:textDirection w:val="btLr"/>
                      </w:pPr>
                      <w:r>
                        <w:rPr>
                          <w:rFonts w:ascii="FS Me Light" w:eastAsia="FS Me Light" w:hAnsi="FS Me Light" w:cs="FS Me Light"/>
                          <w:color w:val="231916"/>
                          <w:sz w:val="14"/>
                        </w:rPr>
                        <w:t>Date of revision :-</w:t>
                      </w:r>
                    </w:p>
                    <w:p w14:paraId="4B2A4E32" w14:textId="77777777" w:rsidR="00627A8F" w:rsidRDefault="00000000">
                      <w:pPr>
                        <w:spacing w:before="53"/>
                        <w:ind w:left="106" w:firstLine="106"/>
                        <w:textDirection w:val="btLr"/>
                      </w:pPr>
                      <w:r>
                        <w:rPr>
                          <w:rFonts w:ascii="FS Me Light" w:eastAsia="FS Me Light" w:hAnsi="FS Me Light" w:cs="FS Me Light"/>
                          <w:color w:val="231916"/>
                          <w:sz w:val="14"/>
                        </w:rPr>
                        <w:t>Date received :-</w:t>
                      </w:r>
                    </w:p>
                    <w:p w14:paraId="3106B1C0" w14:textId="77777777" w:rsidR="00627A8F" w:rsidRDefault="00627A8F">
                      <w:pPr>
                        <w:spacing w:before="10"/>
                        <w:textDirection w:val="btLr"/>
                      </w:pPr>
                    </w:p>
                    <w:p w14:paraId="68DDE791" w14:textId="77777777" w:rsidR="00627A8F" w:rsidRDefault="00000000">
                      <w:pPr>
                        <w:spacing w:line="316" w:lineRule="auto"/>
                        <w:ind w:left="106" w:right="44" w:firstLine="106"/>
                        <w:textDirection w:val="btLr"/>
                      </w:pPr>
                      <w:r>
                        <w:rPr>
                          <w:rFonts w:ascii="FS Me Light" w:eastAsia="FS Me Light" w:hAnsi="FS Me Light" w:cs="FS Me Light"/>
                          <w:color w:val="231916"/>
                          <w:sz w:val="14"/>
                        </w:rPr>
                        <w:t xml:space="preserve">Correspondence Address: </w:t>
                      </w:r>
                    </w:p>
                    <w:p w14:paraId="24099732" w14:textId="77777777" w:rsidR="00627A8F" w:rsidRDefault="00000000">
                      <w:pPr>
                        <w:textDirection w:val="btLr"/>
                      </w:pPr>
                      <w:r>
                        <w:rPr>
                          <w:rFonts w:ascii="FS Me Light" w:eastAsia="FS Me Light" w:hAnsi="FS Me Light" w:cs="FS Me Light"/>
                          <w:color w:val="231916"/>
                          <w:sz w:val="14"/>
                        </w:rPr>
                        <w:t xml:space="preserve">Thai Studies, Faculty of Arts, Chulalongkorn University 254 Phaya Thai Rd, Wang Mai, Pathum Wan, Bangkok 10330. Email: </w:t>
                      </w:r>
                      <w:r>
                        <w:rPr>
                          <w:rFonts w:ascii="FS Me Light" w:eastAsia="FS Me Light" w:hAnsi="FS Me Light" w:cs="FS Me Light"/>
                          <w:color w:val="0000C4"/>
                          <w:sz w:val="14"/>
                          <w:u w:val="single"/>
                        </w:rPr>
                        <w:t>6688031022@student.chula.ac.th</w:t>
                      </w:r>
                    </w:p>
                  </w:txbxContent>
                </v:textbox>
              </v:rect>
            </w:pict>
          </mc:Fallback>
        </mc:AlternateContent>
      </w:r>
      <w:r>
        <w:rPr>
          <w:noProof/>
        </w:rPr>
        <mc:AlternateContent>
          <mc:Choice Requires="wpg">
            <w:drawing>
              <wp:anchor distT="0" distB="0" distL="114300" distR="114300" simplePos="0" relativeHeight="251661312" behindDoc="0" locked="0" layoutInCell="1" hidden="0" allowOverlap="1" wp14:anchorId="2BC72266" wp14:editId="117F746E">
                <wp:simplePos x="0" y="0"/>
                <wp:positionH relativeFrom="column">
                  <wp:posOffset>1</wp:posOffset>
                </wp:positionH>
                <wp:positionV relativeFrom="paragraph">
                  <wp:posOffset>101600</wp:posOffset>
                </wp:positionV>
                <wp:extent cx="541272" cy="366109"/>
                <wp:effectExtent l="0" t="0" r="0" b="0"/>
                <wp:wrapNone/>
                <wp:docPr id="4" name="Group 4"/>
                <wp:cNvGraphicFramePr/>
                <a:graphic xmlns:a="http://schemas.openxmlformats.org/drawingml/2006/main">
                  <a:graphicData uri="http://schemas.microsoft.com/office/word/2010/wordprocessingGroup">
                    <wpg:wgp>
                      <wpg:cNvGrpSpPr/>
                      <wpg:grpSpPr>
                        <a:xfrm>
                          <a:off x="0" y="0"/>
                          <a:ext cx="541272" cy="366109"/>
                          <a:chOff x="5075350" y="3596925"/>
                          <a:chExt cx="541300" cy="366150"/>
                        </a:xfrm>
                      </wpg:grpSpPr>
                      <wpg:grpSp>
                        <wpg:cNvPr id="1093623526" name="Group 1093623526"/>
                        <wpg:cNvGrpSpPr/>
                        <wpg:grpSpPr>
                          <a:xfrm>
                            <a:off x="5075364" y="3596946"/>
                            <a:ext cx="541272" cy="366109"/>
                            <a:chOff x="0" y="0"/>
                            <a:chExt cx="541272" cy="366109"/>
                          </a:xfrm>
                        </wpg:grpSpPr>
                        <wps:wsp>
                          <wps:cNvPr id="697292818" name="Rectangle 697292818"/>
                          <wps:cNvSpPr/>
                          <wps:spPr>
                            <a:xfrm>
                              <a:off x="0" y="0"/>
                              <a:ext cx="541250" cy="366100"/>
                            </a:xfrm>
                            <a:prstGeom prst="rect">
                              <a:avLst/>
                            </a:prstGeom>
                            <a:noFill/>
                            <a:ln>
                              <a:noFill/>
                            </a:ln>
                          </wps:spPr>
                          <wps:txbx>
                            <w:txbxContent>
                              <w:p w14:paraId="7AD4D4F6" w14:textId="77777777" w:rsidR="00627A8F" w:rsidRDefault="00627A8F">
                                <w:pPr>
                                  <w:textDirection w:val="btLr"/>
                                </w:pPr>
                              </w:p>
                            </w:txbxContent>
                          </wps:txbx>
                          <wps:bodyPr spcFirstLastPara="1" wrap="square" lIns="91425" tIns="91425" rIns="91425" bIns="91425" anchor="ctr" anchorCtr="0">
                            <a:noAutofit/>
                          </wps:bodyPr>
                        </wps:wsp>
                        <pic:pic xmlns:pic="http://schemas.openxmlformats.org/drawingml/2006/picture">
                          <pic:nvPicPr>
                            <pic:cNvPr id="8" name="Shape 8"/>
                            <pic:cNvPicPr preferRelativeResize="0"/>
                          </pic:nvPicPr>
                          <pic:blipFill rotWithShape="1">
                            <a:blip r:embed="rId8">
                              <a:alphaModFix/>
                            </a:blip>
                            <a:srcRect/>
                            <a:stretch/>
                          </pic:blipFill>
                          <pic:spPr>
                            <a:xfrm>
                              <a:off x="358392" y="0"/>
                              <a:ext cx="182880" cy="290195"/>
                            </a:xfrm>
                            <a:prstGeom prst="rect">
                              <a:avLst/>
                            </a:prstGeom>
                            <a:noFill/>
                            <a:ln>
                              <a:noFill/>
                            </a:ln>
                          </pic:spPr>
                        </pic:pic>
                        <pic:pic xmlns:pic="http://schemas.openxmlformats.org/drawingml/2006/picture">
                          <pic:nvPicPr>
                            <pic:cNvPr id="9" name="Shape 9"/>
                            <pic:cNvPicPr preferRelativeResize="0"/>
                          </pic:nvPicPr>
                          <pic:blipFill rotWithShape="1">
                            <a:blip r:embed="rId9">
                              <a:alphaModFix/>
                            </a:blip>
                            <a:srcRect/>
                            <a:stretch/>
                          </pic:blipFill>
                          <pic:spPr>
                            <a:xfrm>
                              <a:off x="0" y="0"/>
                              <a:ext cx="304165" cy="310515"/>
                            </a:xfrm>
                            <a:prstGeom prst="rect">
                              <a:avLst/>
                            </a:prstGeom>
                            <a:noFill/>
                            <a:ln>
                              <a:noFill/>
                            </a:ln>
                          </pic:spPr>
                        </pic:pic>
                        <wps:wsp>
                          <wps:cNvPr id="1739844007" name="Freeform: Shape 1739844007"/>
                          <wps:cNvSpPr/>
                          <wps:spPr>
                            <a:xfrm>
                              <a:off x="0" y="311499"/>
                              <a:ext cx="321310" cy="54610"/>
                            </a:xfrm>
                            <a:custGeom>
                              <a:avLst/>
                              <a:gdLst/>
                              <a:ahLst/>
                              <a:cxnLst/>
                              <a:rect l="l" t="t" r="r" b="b"/>
                              <a:pathLst>
                                <a:path w="506" h="87" extrusionOk="0">
                                  <a:moveTo>
                                    <a:pt x="65" y="67"/>
                                  </a:moveTo>
                                  <a:lnTo>
                                    <a:pt x="60" y="67"/>
                                  </a:lnTo>
                                  <a:lnTo>
                                    <a:pt x="60" y="75"/>
                                  </a:lnTo>
                                  <a:lnTo>
                                    <a:pt x="53" y="79"/>
                                  </a:lnTo>
                                  <a:lnTo>
                                    <a:pt x="48" y="81"/>
                                  </a:lnTo>
                                  <a:lnTo>
                                    <a:pt x="42" y="81"/>
                                  </a:lnTo>
                                  <a:lnTo>
                                    <a:pt x="30" y="78"/>
                                  </a:lnTo>
                                  <a:lnTo>
                                    <a:pt x="20" y="71"/>
                                  </a:lnTo>
                                  <a:lnTo>
                                    <a:pt x="14" y="60"/>
                                  </a:lnTo>
                                  <a:lnTo>
                                    <a:pt x="11" y="47"/>
                                  </a:lnTo>
                                  <a:lnTo>
                                    <a:pt x="14" y="33"/>
                                  </a:lnTo>
                                  <a:lnTo>
                                    <a:pt x="19" y="23"/>
                                  </a:lnTo>
                                  <a:lnTo>
                                    <a:pt x="29" y="16"/>
                                  </a:lnTo>
                                  <a:lnTo>
                                    <a:pt x="40" y="14"/>
                                  </a:lnTo>
                                  <a:lnTo>
                                    <a:pt x="48" y="14"/>
                                  </a:lnTo>
                                  <a:lnTo>
                                    <a:pt x="53" y="16"/>
                                  </a:lnTo>
                                  <a:lnTo>
                                    <a:pt x="60" y="21"/>
                                  </a:lnTo>
                                  <a:lnTo>
                                    <a:pt x="60" y="26"/>
                                  </a:lnTo>
                                  <a:lnTo>
                                    <a:pt x="65" y="26"/>
                                  </a:lnTo>
                                  <a:lnTo>
                                    <a:pt x="65" y="7"/>
                                  </a:lnTo>
                                  <a:lnTo>
                                    <a:pt x="60" y="7"/>
                                  </a:lnTo>
                                  <a:lnTo>
                                    <a:pt x="60" y="12"/>
                                  </a:lnTo>
                                  <a:lnTo>
                                    <a:pt x="53" y="9"/>
                                  </a:lnTo>
                                  <a:lnTo>
                                    <a:pt x="47" y="8"/>
                                  </a:lnTo>
                                  <a:lnTo>
                                    <a:pt x="40" y="8"/>
                                  </a:lnTo>
                                  <a:lnTo>
                                    <a:pt x="24" y="11"/>
                                  </a:lnTo>
                                  <a:lnTo>
                                    <a:pt x="12" y="19"/>
                                  </a:lnTo>
                                  <a:lnTo>
                                    <a:pt x="3" y="32"/>
                                  </a:lnTo>
                                  <a:lnTo>
                                    <a:pt x="0" y="47"/>
                                  </a:lnTo>
                                  <a:lnTo>
                                    <a:pt x="3" y="63"/>
                                  </a:lnTo>
                                  <a:lnTo>
                                    <a:pt x="12" y="76"/>
                                  </a:lnTo>
                                  <a:lnTo>
                                    <a:pt x="25" y="84"/>
                                  </a:lnTo>
                                  <a:lnTo>
                                    <a:pt x="41" y="87"/>
                                  </a:lnTo>
                                  <a:lnTo>
                                    <a:pt x="49" y="87"/>
                                  </a:lnTo>
                                  <a:lnTo>
                                    <a:pt x="56" y="86"/>
                                  </a:lnTo>
                                  <a:lnTo>
                                    <a:pt x="65" y="82"/>
                                  </a:lnTo>
                                  <a:lnTo>
                                    <a:pt x="65" y="67"/>
                                  </a:lnTo>
                                  <a:close/>
                                  <a:moveTo>
                                    <a:pt x="111" y="36"/>
                                  </a:moveTo>
                                  <a:lnTo>
                                    <a:pt x="107" y="33"/>
                                  </a:lnTo>
                                  <a:lnTo>
                                    <a:pt x="104" y="32"/>
                                  </a:lnTo>
                                  <a:lnTo>
                                    <a:pt x="100" y="32"/>
                                  </a:lnTo>
                                  <a:lnTo>
                                    <a:pt x="97" y="34"/>
                                  </a:lnTo>
                                  <a:lnTo>
                                    <a:pt x="88" y="45"/>
                                  </a:lnTo>
                                  <a:lnTo>
                                    <a:pt x="88" y="32"/>
                                  </a:lnTo>
                                  <a:lnTo>
                                    <a:pt x="86" y="32"/>
                                  </a:lnTo>
                                  <a:lnTo>
                                    <a:pt x="70" y="36"/>
                                  </a:lnTo>
                                  <a:lnTo>
                                    <a:pt x="70" y="39"/>
                                  </a:lnTo>
                                  <a:lnTo>
                                    <a:pt x="80" y="39"/>
                                  </a:lnTo>
                                  <a:lnTo>
                                    <a:pt x="80" y="81"/>
                                  </a:lnTo>
                                  <a:lnTo>
                                    <a:pt x="71" y="81"/>
                                  </a:lnTo>
                                  <a:lnTo>
                                    <a:pt x="71" y="85"/>
                                  </a:lnTo>
                                  <a:lnTo>
                                    <a:pt x="99" y="85"/>
                                  </a:lnTo>
                                  <a:lnTo>
                                    <a:pt x="99" y="81"/>
                                  </a:lnTo>
                                  <a:lnTo>
                                    <a:pt x="88" y="81"/>
                                  </a:lnTo>
                                  <a:lnTo>
                                    <a:pt x="88" y="50"/>
                                  </a:lnTo>
                                  <a:lnTo>
                                    <a:pt x="95" y="43"/>
                                  </a:lnTo>
                                  <a:lnTo>
                                    <a:pt x="97" y="41"/>
                                  </a:lnTo>
                                  <a:lnTo>
                                    <a:pt x="100" y="41"/>
                                  </a:lnTo>
                                  <a:lnTo>
                                    <a:pt x="102" y="42"/>
                                  </a:lnTo>
                                  <a:lnTo>
                                    <a:pt x="104" y="44"/>
                                  </a:lnTo>
                                  <a:lnTo>
                                    <a:pt x="111" y="36"/>
                                  </a:lnTo>
                                  <a:close/>
                                  <a:moveTo>
                                    <a:pt x="162" y="44"/>
                                  </a:moveTo>
                                  <a:lnTo>
                                    <a:pt x="155" y="36"/>
                                  </a:lnTo>
                                  <a:lnTo>
                                    <a:pt x="152" y="33"/>
                                  </a:lnTo>
                                  <a:lnTo>
                                    <a:pt x="152" y="46"/>
                                  </a:lnTo>
                                  <a:lnTo>
                                    <a:pt x="152" y="72"/>
                                  </a:lnTo>
                                  <a:lnTo>
                                    <a:pt x="145" y="82"/>
                                  </a:lnTo>
                                  <a:lnTo>
                                    <a:pt x="128" y="82"/>
                                  </a:lnTo>
                                  <a:lnTo>
                                    <a:pt x="121" y="72"/>
                                  </a:lnTo>
                                  <a:lnTo>
                                    <a:pt x="121" y="46"/>
                                  </a:lnTo>
                                  <a:lnTo>
                                    <a:pt x="128" y="36"/>
                                  </a:lnTo>
                                  <a:lnTo>
                                    <a:pt x="145" y="36"/>
                                  </a:lnTo>
                                  <a:lnTo>
                                    <a:pt x="152" y="46"/>
                                  </a:lnTo>
                                  <a:lnTo>
                                    <a:pt x="152" y="33"/>
                                  </a:lnTo>
                                  <a:lnTo>
                                    <a:pt x="150" y="32"/>
                                  </a:lnTo>
                                  <a:lnTo>
                                    <a:pt x="122" y="32"/>
                                  </a:lnTo>
                                  <a:lnTo>
                                    <a:pt x="111" y="44"/>
                                  </a:lnTo>
                                  <a:lnTo>
                                    <a:pt x="111" y="74"/>
                                  </a:lnTo>
                                  <a:lnTo>
                                    <a:pt x="122" y="87"/>
                                  </a:lnTo>
                                  <a:lnTo>
                                    <a:pt x="150" y="87"/>
                                  </a:lnTo>
                                  <a:lnTo>
                                    <a:pt x="155" y="82"/>
                                  </a:lnTo>
                                  <a:lnTo>
                                    <a:pt x="162" y="74"/>
                                  </a:lnTo>
                                  <a:lnTo>
                                    <a:pt x="162" y="44"/>
                                  </a:lnTo>
                                  <a:close/>
                                  <a:moveTo>
                                    <a:pt x="207" y="64"/>
                                  </a:moveTo>
                                  <a:lnTo>
                                    <a:pt x="203" y="60"/>
                                  </a:lnTo>
                                  <a:lnTo>
                                    <a:pt x="192" y="55"/>
                                  </a:lnTo>
                                  <a:lnTo>
                                    <a:pt x="178" y="50"/>
                                  </a:lnTo>
                                  <a:lnTo>
                                    <a:pt x="177" y="49"/>
                                  </a:lnTo>
                                  <a:lnTo>
                                    <a:pt x="177" y="39"/>
                                  </a:lnTo>
                                  <a:lnTo>
                                    <a:pt x="181" y="36"/>
                                  </a:lnTo>
                                  <a:lnTo>
                                    <a:pt x="193" y="36"/>
                                  </a:lnTo>
                                  <a:lnTo>
                                    <a:pt x="199" y="40"/>
                                  </a:lnTo>
                                  <a:lnTo>
                                    <a:pt x="199" y="44"/>
                                  </a:lnTo>
                                  <a:lnTo>
                                    <a:pt x="198" y="48"/>
                                  </a:lnTo>
                                  <a:lnTo>
                                    <a:pt x="203" y="48"/>
                                  </a:lnTo>
                                  <a:lnTo>
                                    <a:pt x="206" y="31"/>
                                  </a:lnTo>
                                  <a:lnTo>
                                    <a:pt x="201" y="31"/>
                                  </a:lnTo>
                                  <a:lnTo>
                                    <a:pt x="200" y="36"/>
                                  </a:lnTo>
                                  <a:lnTo>
                                    <a:pt x="197" y="33"/>
                                  </a:lnTo>
                                  <a:lnTo>
                                    <a:pt x="193" y="32"/>
                                  </a:lnTo>
                                  <a:lnTo>
                                    <a:pt x="177" y="32"/>
                                  </a:lnTo>
                                  <a:lnTo>
                                    <a:pt x="170" y="38"/>
                                  </a:lnTo>
                                  <a:lnTo>
                                    <a:pt x="170" y="54"/>
                                  </a:lnTo>
                                  <a:lnTo>
                                    <a:pt x="174" y="58"/>
                                  </a:lnTo>
                                  <a:lnTo>
                                    <a:pt x="197" y="67"/>
                                  </a:lnTo>
                                  <a:lnTo>
                                    <a:pt x="200" y="70"/>
                                  </a:lnTo>
                                  <a:lnTo>
                                    <a:pt x="200" y="79"/>
                                  </a:lnTo>
                                  <a:lnTo>
                                    <a:pt x="195" y="82"/>
                                  </a:lnTo>
                                  <a:lnTo>
                                    <a:pt x="182" y="82"/>
                                  </a:lnTo>
                                  <a:lnTo>
                                    <a:pt x="175" y="78"/>
                                  </a:lnTo>
                                  <a:lnTo>
                                    <a:pt x="175" y="70"/>
                                  </a:lnTo>
                                  <a:lnTo>
                                    <a:pt x="170" y="70"/>
                                  </a:lnTo>
                                  <a:lnTo>
                                    <a:pt x="170" y="86"/>
                                  </a:lnTo>
                                  <a:lnTo>
                                    <a:pt x="175" y="86"/>
                                  </a:lnTo>
                                  <a:lnTo>
                                    <a:pt x="175" y="82"/>
                                  </a:lnTo>
                                  <a:lnTo>
                                    <a:pt x="178" y="85"/>
                                  </a:lnTo>
                                  <a:lnTo>
                                    <a:pt x="183" y="87"/>
                                  </a:lnTo>
                                  <a:lnTo>
                                    <a:pt x="189" y="87"/>
                                  </a:lnTo>
                                  <a:lnTo>
                                    <a:pt x="200" y="87"/>
                                  </a:lnTo>
                                  <a:lnTo>
                                    <a:pt x="207" y="80"/>
                                  </a:lnTo>
                                  <a:lnTo>
                                    <a:pt x="207" y="64"/>
                                  </a:lnTo>
                                  <a:close/>
                                  <a:moveTo>
                                    <a:pt x="253" y="64"/>
                                  </a:moveTo>
                                  <a:lnTo>
                                    <a:pt x="250" y="60"/>
                                  </a:lnTo>
                                  <a:lnTo>
                                    <a:pt x="239" y="55"/>
                                  </a:lnTo>
                                  <a:lnTo>
                                    <a:pt x="225" y="50"/>
                                  </a:lnTo>
                                  <a:lnTo>
                                    <a:pt x="224" y="49"/>
                                  </a:lnTo>
                                  <a:lnTo>
                                    <a:pt x="224" y="39"/>
                                  </a:lnTo>
                                  <a:lnTo>
                                    <a:pt x="228" y="36"/>
                                  </a:lnTo>
                                  <a:lnTo>
                                    <a:pt x="240" y="36"/>
                                  </a:lnTo>
                                  <a:lnTo>
                                    <a:pt x="245" y="40"/>
                                  </a:lnTo>
                                  <a:lnTo>
                                    <a:pt x="245" y="44"/>
                                  </a:lnTo>
                                  <a:lnTo>
                                    <a:pt x="244" y="48"/>
                                  </a:lnTo>
                                  <a:lnTo>
                                    <a:pt x="249" y="48"/>
                                  </a:lnTo>
                                  <a:lnTo>
                                    <a:pt x="252" y="31"/>
                                  </a:lnTo>
                                  <a:lnTo>
                                    <a:pt x="247" y="31"/>
                                  </a:lnTo>
                                  <a:lnTo>
                                    <a:pt x="247" y="36"/>
                                  </a:lnTo>
                                  <a:lnTo>
                                    <a:pt x="243" y="33"/>
                                  </a:lnTo>
                                  <a:lnTo>
                                    <a:pt x="239" y="32"/>
                                  </a:lnTo>
                                  <a:lnTo>
                                    <a:pt x="224" y="32"/>
                                  </a:lnTo>
                                  <a:lnTo>
                                    <a:pt x="216" y="38"/>
                                  </a:lnTo>
                                  <a:lnTo>
                                    <a:pt x="216" y="54"/>
                                  </a:lnTo>
                                  <a:lnTo>
                                    <a:pt x="220" y="58"/>
                                  </a:lnTo>
                                  <a:lnTo>
                                    <a:pt x="244" y="67"/>
                                  </a:lnTo>
                                  <a:lnTo>
                                    <a:pt x="247" y="70"/>
                                  </a:lnTo>
                                  <a:lnTo>
                                    <a:pt x="247" y="79"/>
                                  </a:lnTo>
                                  <a:lnTo>
                                    <a:pt x="242" y="82"/>
                                  </a:lnTo>
                                  <a:lnTo>
                                    <a:pt x="229" y="82"/>
                                  </a:lnTo>
                                  <a:lnTo>
                                    <a:pt x="222" y="78"/>
                                  </a:lnTo>
                                  <a:lnTo>
                                    <a:pt x="222" y="70"/>
                                  </a:lnTo>
                                  <a:lnTo>
                                    <a:pt x="217" y="70"/>
                                  </a:lnTo>
                                  <a:lnTo>
                                    <a:pt x="217" y="86"/>
                                  </a:lnTo>
                                  <a:lnTo>
                                    <a:pt x="221" y="86"/>
                                  </a:lnTo>
                                  <a:lnTo>
                                    <a:pt x="221" y="82"/>
                                  </a:lnTo>
                                  <a:lnTo>
                                    <a:pt x="225" y="85"/>
                                  </a:lnTo>
                                  <a:lnTo>
                                    <a:pt x="230" y="87"/>
                                  </a:lnTo>
                                  <a:lnTo>
                                    <a:pt x="236" y="87"/>
                                  </a:lnTo>
                                  <a:lnTo>
                                    <a:pt x="246" y="87"/>
                                  </a:lnTo>
                                  <a:lnTo>
                                    <a:pt x="253" y="80"/>
                                  </a:lnTo>
                                  <a:lnTo>
                                    <a:pt x="253" y="64"/>
                                  </a:lnTo>
                                  <a:close/>
                                  <a:moveTo>
                                    <a:pt x="353" y="9"/>
                                  </a:moveTo>
                                  <a:lnTo>
                                    <a:pt x="334" y="9"/>
                                  </a:lnTo>
                                  <a:lnTo>
                                    <a:pt x="307" y="68"/>
                                  </a:lnTo>
                                  <a:lnTo>
                                    <a:pt x="281" y="9"/>
                                  </a:lnTo>
                                  <a:lnTo>
                                    <a:pt x="263" y="9"/>
                                  </a:lnTo>
                                  <a:lnTo>
                                    <a:pt x="263" y="13"/>
                                  </a:lnTo>
                                  <a:lnTo>
                                    <a:pt x="271" y="13"/>
                                  </a:lnTo>
                                  <a:lnTo>
                                    <a:pt x="271" y="81"/>
                                  </a:lnTo>
                                  <a:lnTo>
                                    <a:pt x="263" y="81"/>
                                  </a:lnTo>
                                  <a:lnTo>
                                    <a:pt x="263" y="85"/>
                                  </a:lnTo>
                                  <a:lnTo>
                                    <a:pt x="286" y="85"/>
                                  </a:lnTo>
                                  <a:lnTo>
                                    <a:pt x="286" y="81"/>
                                  </a:lnTo>
                                  <a:lnTo>
                                    <a:pt x="277" y="81"/>
                                  </a:lnTo>
                                  <a:lnTo>
                                    <a:pt x="277" y="23"/>
                                  </a:lnTo>
                                  <a:lnTo>
                                    <a:pt x="305" y="86"/>
                                  </a:lnTo>
                                  <a:lnTo>
                                    <a:pt x="334" y="24"/>
                                  </a:lnTo>
                                  <a:lnTo>
                                    <a:pt x="334" y="81"/>
                                  </a:lnTo>
                                  <a:lnTo>
                                    <a:pt x="325" y="81"/>
                                  </a:lnTo>
                                  <a:lnTo>
                                    <a:pt x="325" y="85"/>
                                  </a:lnTo>
                                  <a:lnTo>
                                    <a:pt x="353" y="85"/>
                                  </a:lnTo>
                                  <a:lnTo>
                                    <a:pt x="353" y="81"/>
                                  </a:lnTo>
                                  <a:lnTo>
                                    <a:pt x="344" y="81"/>
                                  </a:lnTo>
                                  <a:lnTo>
                                    <a:pt x="344" y="13"/>
                                  </a:lnTo>
                                  <a:lnTo>
                                    <a:pt x="353" y="13"/>
                                  </a:lnTo>
                                  <a:lnTo>
                                    <a:pt x="353" y="9"/>
                                  </a:lnTo>
                                  <a:close/>
                                  <a:moveTo>
                                    <a:pt x="405" y="80"/>
                                  </a:moveTo>
                                  <a:lnTo>
                                    <a:pt x="396" y="80"/>
                                  </a:lnTo>
                                  <a:lnTo>
                                    <a:pt x="396" y="78"/>
                                  </a:lnTo>
                                  <a:lnTo>
                                    <a:pt x="396" y="62"/>
                                  </a:lnTo>
                                  <a:lnTo>
                                    <a:pt x="396" y="37"/>
                                  </a:lnTo>
                                  <a:lnTo>
                                    <a:pt x="395" y="36"/>
                                  </a:lnTo>
                                  <a:lnTo>
                                    <a:pt x="389" y="32"/>
                                  </a:lnTo>
                                  <a:lnTo>
                                    <a:pt x="369" y="32"/>
                                  </a:lnTo>
                                  <a:lnTo>
                                    <a:pt x="361" y="37"/>
                                  </a:lnTo>
                                  <a:lnTo>
                                    <a:pt x="361" y="44"/>
                                  </a:lnTo>
                                  <a:lnTo>
                                    <a:pt x="362" y="46"/>
                                  </a:lnTo>
                                  <a:lnTo>
                                    <a:pt x="372" y="44"/>
                                  </a:lnTo>
                                  <a:lnTo>
                                    <a:pt x="372" y="38"/>
                                  </a:lnTo>
                                  <a:lnTo>
                                    <a:pt x="376" y="36"/>
                                  </a:lnTo>
                                  <a:lnTo>
                                    <a:pt x="377" y="36"/>
                                  </a:lnTo>
                                  <a:lnTo>
                                    <a:pt x="384" y="36"/>
                                  </a:lnTo>
                                  <a:lnTo>
                                    <a:pt x="388" y="39"/>
                                  </a:lnTo>
                                  <a:lnTo>
                                    <a:pt x="388" y="57"/>
                                  </a:lnTo>
                                  <a:lnTo>
                                    <a:pt x="388" y="62"/>
                                  </a:lnTo>
                                  <a:lnTo>
                                    <a:pt x="388" y="74"/>
                                  </a:lnTo>
                                  <a:lnTo>
                                    <a:pt x="382" y="78"/>
                                  </a:lnTo>
                                  <a:lnTo>
                                    <a:pt x="379" y="80"/>
                                  </a:lnTo>
                                  <a:lnTo>
                                    <a:pt x="371" y="80"/>
                                  </a:lnTo>
                                  <a:lnTo>
                                    <a:pt x="368" y="77"/>
                                  </a:lnTo>
                                  <a:lnTo>
                                    <a:pt x="368" y="66"/>
                                  </a:lnTo>
                                  <a:lnTo>
                                    <a:pt x="388" y="62"/>
                                  </a:lnTo>
                                  <a:lnTo>
                                    <a:pt x="388" y="57"/>
                                  </a:lnTo>
                                  <a:lnTo>
                                    <a:pt x="362" y="63"/>
                                  </a:lnTo>
                                  <a:lnTo>
                                    <a:pt x="358" y="68"/>
                                  </a:lnTo>
                                  <a:lnTo>
                                    <a:pt x="358" y="81"/>
                                  </a:lnTo>
                                  <a:lnTo>
                                    <a:pt x="364" y="87"/>
                                  </a:lnTo>
                                  <a:lnTo>
                                    <a:pt x="378" y="87"/>
                                  </a:lnTo>
                                  <a:lnTo>
                                    <a:pt x="383" y="84"/>
                                  </a:lnTo>
                                  <a:lnTo>
                                    <a:pt x="386" y="80"/>
                                  </a:lnTo>
                                  <a:lnTo>
                                    <a:pt x="388" y="78"/>
                                  </a:lnTo>
                                  <a:lnTo>
                                    <a:pt x="388" y="84"/>
                                  </a:lnTo>
                                  <a:lnTo>
                                    <a:pt x="390" y="86"/>
                                  </a:lnTo>
                                  <a:lnTo>
                                    <a:pt x="393" y="86"/>
                                  </a:lnTo>
                                  <a:lnTo>
                                    <a:pt x="397" y="86"/>
                                  </a:lnTo>
                                  <a:lnTo>
                                    <a:pt x="405" y="83"/>
                                  </a:lnTo>
                                  <a:lnTo>
                                    <a:pt x="405" y="80"/>
                                  </a:lnTo>
                                  <a:close/>
                                  <a:moveTo>
                                    <a:pt x="449" y="36"/>
                                  </a:moveTo>
                                  <a:lnTo>
                                    <a:pt x="446" y="33"/>
                                  </a:lnTo>
                                  <a:lnTo>
                                    <a:pt x="443" y="32"/>
                                  </a:lnTo>
                                  <a:lnTo>
                                    <a:pt x="438" y="32"/>
                                  </a:lnTo>
                                  <a:lnTo>
                                    <a:pt x="435" y="34"/>
                                  </a:lnTo>
                                  <a:lnTo>
                                    <a:pt x="427" y="45"/>
                                  </a:lnTo>
                                  <a:lnTo>
                                    <a:pt x="427" y="32"/>
                                  </a:lnTo>
                                  <a:lnTo>
                                    <a:pt x="425" y="32"/>
                                  </a:lnTo>
                                  <a:lnTo>
                                    <a:pt x="408" y="36"/>
                                  </a:lnTo>
                                  <a:lnTo>
                                    <a:pt x="408" y="39"/>
                                  </a:lnTo>
                                  <a:lnTo>
                                    <a:pt x="419" y="39"/>
                                  </a:lnTo>
                                  <a:lnTo>
                                    <a:pt x="419" y="81"/>
                                  </a:lnTo>
                                  <a:lnTo>
                                    <a:pt x="410" y="81"/>
                                  </a:lnTo>
                                  <a:lnTo>
                                    <a:pt x="410" y="85"/>
                                  </a:lnTo>
                                  <a:lnTo>
                                    <a:pt x="438" y="85"/>
                                  </a:lnTo>
                                  <a:lnTo>
                                    <a:pt x="438" y="81"/>
                                  </a:lnTo>
                                  <a:lnTo>
                                    <a:pt x="427" y="81"/>
                                  </a:lnTo>
                                  <a:lnTo>
                                    <a:pt x="427" y="50"/>
                                  </a:lnTo>
                                  <a:lnTo>
                                    <a:pt x="433" y="43"/>
                                  </a:lnTo>
                                  <a:lnTo>
                                    <a:pt x="436" y="41"/>
                                  </a:lnTo>
                                  <a:lnTo>
                                    <a:pt x="439" y="41"/>
                                  </a:lnTo>
                                  <a:lnTo>
                                    <a:pt x="440" y="42"/>
                                  </a:lnTo>
                                  <a:lnTo>
                                    <a:pt x="443" y="44"/>
                                  </a:lnTo>
                                  <a:lnTo>
                                    <a:pt x="449" y="36"/>
                                  </a:lnTo>
                                  <a:close/>
                                  <a:moveTo>
                                    <a:pt x="475" y="81"/>
                                  </a:moveTo>
                                  <a:lnTo>
                                    <a:pt x="466" y="81"/>
                                  </a:lnTo>
                                  <a:lnTo>
                                    <a:pt x="466" y="0"/>
                                  </a:lnTo>
                                  <a:lnTo>
                                    <a:pt x="464" y="0"/>
                                  </a:lnTo>
                                  <a:lnTo>
                                    <a:pt x="447" y="5"/>
                                  </a:lnTo>
                                  <a:lnTo>
                                    <a:pt x="447" y="8"/>
                                  </a:lnTo>
                                  <a:lnTo>
                                    <a:pt x="458" y="8"/>
                                  </a:lnTo>
                                  <a:lnTo>
                                    <a:pt x="458" y="81"/>
                                  </a:lnTo>
                                  <a:lnTo>
                                    <a:pt x="449" y="81"/>
                                  </a:lnTo>
                                  <a:lnTo>
                                    <a:pt x="449" y="85"/>
                                  </a:lnTo>
                                  <a:lnTo>
                                    <a:pt x="475" y="85"/>
                                  </a:lnTo>
                                  <a:lnTo>
                                    <a:pt x="475" y="81"/>
                                  </a:lnTo>
                                  <a:close/>
                                  <a:moveTo>
                                    <a:pt x="505" y="81"/>
                                  </a:moveTo>
                                  <a:lnTo>
                                    <a:pt x="499" y="81"/>
                                  </a:lnTo>
                                  <a:lnTo>
                                    <a:pt x="476" y="54"/>
                                  </a:lnTo>
                                  <a:lnTo>
                                    <a:pt x="494" y="37"/>
                                  </a:lnTo>
                                  <a:lnTo>
                                    <a:pt x="503" y="37"/>
                                  </a:lnTo>
                                  <a:lnTo>
                                    <a:pt x="503" y="33"/>
                                  </a:lnTo>
                                  <a:lnTo>
                                    <a:pt x="480" y="33"/>
                                  </a:lnTo>
                                  <a:lnTo>
                                    <a:pt x="480" y="37"/>
                                  </a:lnTo>
                                  <a:lnTo>
                                    <a:pt x="488" y="37"/>
                                  </a:lnTo>
                                  <a:lnTo>
                                    <a:pt x="467" y="57"/>
                                  </a:lnTo>
                                  <a:lnTo>
                                    <a:pt x="491" y="85"/>
                                  </a:lnTo>
                                  <a:lnTo>
                                    <a:pt x="505" y="85"/>
                                  </a:lnTo>
                                  <a:lnTo>
                                    <a:pt x="505" y="81"/>
                                  </a:lnTo>
                                  <a:close/>
                                </a:path>
                              </a:pathLst>
                            </a:custGeom>
                            <a:solidFill>
                              <a:srgbClr val="000000"/>
                            </a:solidFill>
                            <a:ln>
                              <a:noFill/>
                            </a:ln>
                          </wps:spPr>
                          <wps:bodyPr spcFirstLastPara="1" wrap="square" lIns="91425" tIns="91425" rIns="91425" bIns="91425" anchor="ctr" anchorCtr="0">
                            <a:noAutofit/>
                          </wps:bodyPr>
                        </wps:wsp>
                      </wpg:grpSp>
                    </wpg:wgp>
                  </a:graphicData>
                </a:graphic>
              </wp:anchor>
            </w:drawing>
          </mc:Choice>
          <mc:Fallback>
            <w:pict>
              <v:group w14:anchorId="2BC72266" id="Group 4" o:spid="_x0000_s1027" style="position:absolute;left:0;text-align:left;margin-left:0;margin-top:8pt;width:42.6pt;height:28.85pt;z-index:251661312" coordorigin="50753,35969" coordsize="5413,3661"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NauRjUkCgAALDcAAA4AAABkcnMvZTJvRG9jLnhtbNRb&#10;UY/bRg5+P6D/QdB7Y89Isi0j3qJoukGB3jVIe+izLMtrobKkSvLu5n79kTOk7PXWpNIiuGuBRmv7&#10;8wzJ+fiRM5LffvN8rILHouvLpt6E5s08DIo6b3Zl/bAJ//3L/derMOiHrN5lVVMXm/BT0Yff3H31&#10;j7dP7bqwzaGpdkUXwCB1v35qN+FhGNr1bNbnh+KY9W+atqjhw33THbMBXnYPs12XPcHox2pm5/PF&#10;7Knpdm3X5EXfw7vv/IfhnRt/vy/y4af9vi+GoNqEYNvg/u3cv1v8d3b3Nls/dFl7KHMyI/sTVhyz&#10;soZJx6HeZUMWnLry1VDHMu+avtkPb/LmOGv2+zIvnA/gjZlfefO+a06t8+Vh/fTQjmGC0F7F6U8P&#10;m//r8X3X/tx+6CAST+0DxMK9Ql+e990Rr2Bl8OxC9mkMWfE8BDm8mcTGLm0Y5PBRtFiYeepDmh8g&#10;7vitZL5MogRCj4AkXaQ2YcT35zGiOSB4DECDMTM2YPbCrPGFNxfs/9AF5Q64N0+jhY0SuwiDOjsC&#10;11z4gov3ycXP8NlZv4jP1scLb/1k/73nRLT8cOHzH8Ttps+QHP15/fu/tv4/H7K2cLTq1+f4LdKl&#10;Te3KQML68H2E5Mnqh6oIzh+5CLpvjZTp1z2w53P4gmzgtYZ1v1zrbN12/fC+aI4B/rEJOzDCJVb2&#10;+GM/eChDcM66uS+rCt7P1lX94g2IJb4D7GEL8a/hefvs6YLz4jvbZvcJKNS3+X0JU/6Y9cOHrAMR&#10;MGHwBMKwCfvfT1lXhEH1Qw2RT00MFA6Gyxfd5Yvt5Yuszg8N6E0+dGHgX3w3OP3xxn57Gpp96Rw7&#10;G0NWw5LfvW3LfA3/U+7DX6/WXtdI+NZwQg+8zh4njXHMut9O7dcgU202lNuyKodPTnJhOdCo+vFD&#10;mePC44szjUb6OJYFKwwzIxAP61rsi+5jUcGoj8XHoi//A7nqafBq3G1VtrjAQdcMv5bDwQ2KS4PR&#10;ww/JJYjolSL+QVS82r5r8tOxqAdfPjpnR1P3h7Ltw6BbF8dtAWrS/bDzk2RVe8j+2ezuy2fPPpwV&#10;Z++7HDPEUa8fumLIDwhAF9hq7/mN9IiSVZSCcr7WVLOyqxXliE3nJnWKOWrDF8gRNNqb6eyHl950&#10;+ONvQ7yUdcsTz9Uh9Aup+fcinvWC96WI96IicR2L5rFZgKw5XTbzxPxPOIcS+MULnVlG6SqO5/Ml&#10;M+a+KwpsMdeB584FAlIajQISTS14kTFxSl3QGF1rIkMZncTQJV0Vvfzkix7qChc66CV3vuTBewf+&#10;K3+u+U8sjdjWVq6tHUC8QLbCYLsJtzg8yEQ24Pf4z+AJuzHojg6bcAW+g3HdCfv2n35D/UXYsXks&#10;fmncFwZs3pARoE+LJdl7/ryqX+A8p0Ycf8rX1o/mUUumFn/KV49KIjfn0oXQFXE/00tUDHUGLFsZ&#10;sow/5asfK/b6qqAissvVqpszWkLJMxrfKy54hdkevnq7DPQWYH3MceVP+Uoo6jsj0UcDwgdjWRll&#10;Pcq49vWmj7H3EZzAUoYNlBB7BUXrqMwIgXLWy1FllGw9sRU2AJL1hJJDTxNOAhkrzkdxUOgM+Yh0&#10;Fkei1ZFB1pMGGCYFAWzG+YA7EspnYiT75xdQobIfaSFzlIxayuuHzTeGSuGozzDQOcnB2GeFgkpA&#10;M3FG2S7i1UqO1rWicoblVdMXYOprDTYkFhFPf0uEDRY0sDNSojwnWZENNbgjx9FkWEpzyqux8mod&#10;y8pPKGVGWIYJdi3Jeg4ax5mvXmEZJacB9uIYiUkopdYsiZdyejJKjhd0GWjXahpKnpFir1hPqPGA&#10;hqPJVx9V2K+gXbHMQ2JOLNvFNFRhXtCg4Ev5boj7sUzXVynH/glZuiADeOSbWZr46IzpzGPzlWp/&#10;4sfTkplg/ljqZsU2BIOTOjE8kKCOUQrMUvOlwTzXtUktNUNyqhqaVIsbuaDBPi9u6ipM0kpjaU2V&#10;uHF3yFRiZvCVGEKwpQKjSZUaZ+iIVoVNYwhlg2bbddKwh7fzzFKRgzNZz+RbeWbn1HMonTgdwUBW&#10;ipmx9JRXlM8sfTmEvkIejaqmAgM1doVHyYyU+jQN5ssFdJGibVRVNIlMqaQr3SitAmzXpEktbkux&#10;xMrFAG6RTINNKv6Gexe5ThkOr5K1tPRK92K45ZADwrCEac6ZwVfSAEgwjFuijEaeKvtzuJ/mRgMT&#10;5cUimMJeagOUhhgOO92kGgxODdBTyEPJNsMw2QUOr+Ipw5TOnyedCtOIRNVVUaSVz3pNsFeTtji8&#10;9MporL7QEUurwLBRpJm1gq7TNnn8yk1dp0KlnLBY6NZdZshRtLSbVHTd0q5a0XWGKTsFO62VsbTf&#10;V1oZSx2PousjTFYUC7qPcdMEm3bOGoy7WEXX4fQAJ9Xkn2FyobOw8XCjybrODFEEe1xTOWstnHO5&#10;SWV9Ypii65YOGxVd58XSdJ3ipqidZZis65YPVZWA0ImjouuW2lNF10eYIjzGE0nzlGCKYFvamUyF&#10;aQGh1llRJDqN1pQYVAH5psFgYzgFRuqr6fq1SOu6Hl0df96S9SjyuiNzL+LuX8kyapzlwSwcR2Js&#10;pqGMoiZ0ZDMRppyzsGlTYQqlgMCOBBNhilhTo6vZRjDlvkQ0p6yQNZ3pAXVYajwYptgW8Rmy7OkI&#10;k+PGFFfO4UaYMikVYM0Fgil840knwq5T4Xa/FvO6sSDfTOyUyMdA1gy++p1MRDClDjAMDg5EHtBo&#10;kXz8H9EWRemwIuqhlU4hWviWU4XRJlaxbUHHYgrj+QhFyR98Rg/bOmU0gkWyvkZwiwZH0+LGW2LF&#10;NriVM2U0vj1wTdIrIvEZtRJegmlEIphykBXRJlZjL9zUdkKs5AIf/yuwhd8oQpTFXCDYQlsFP9rE&#10;gCTapJ5vyh0/eAbKBQRMFF0gmKaJ9KCm0hNFsEpuFRQXeIOtpAwXV2WxmEiKpwRT7m5GqT+CUTrT&#10;iI6uVJjvmhXYKPlyJzTCrgMiFBPaTY56cquYxNTOKufxMe8A5SoRg8w54dFgvkWBDlUiaWx9FJWb&#10;nAxTqoR7xhQlVrFtTi7IyR0zTNbOmJ4lUc4vGKakY4xPPIELU2Fyl8WLpXRZI0zusngVNNtoTZXj&#10;oRj4iJ4qdzxj2rMp9zJjOrrSYHQ8pNzy5FxQKn98nYJcVYWspbPWMYY3sxZKzxQiEOxaN9gS3yjG&#10;JPIKis4yFE4RStbkmKuPnP6MUohHcR6Dxt7xlbxkmOIAL8FE2LVttxc34f6ev3JzcfkpBAayI3wl&#10;h6hlVA6+4pR6Qbk2J3RbSenvR5hSsfgBj4kw2baYSrhiWwyHdpgUSiMVp34boMjeuFwyEUbY9WIx&#10;EeAJAnxq1D38Nz4+Cm9ePqDaN1UJj8NXFT6t1HcP2++qLnjM8AdW7j9KkxewSb/N+D//Jcb5d0ju&#10;9xnuJ1kuUPTzMfzN1+Vrhzr/yO3uvwAAAP//AwBQSwMECgAAAAAAAAAhAHZAcp2ZBgAAmQYAABQA&#10;AABkcnMvbWVkaWEvaW1hZ2UxLnBuZ4lQTkcNChoKAAAADUlIRFIAAAAnAAAAPQgGAAAALu5wyAAA&#10;BmBJREFUeF7tmldobFUUhseCohcLiiI+WcGuD4IXFRXBXhDFgtcXfVBEVEQFuwh2RUFQQX1IL5PE&#10;1JtCkolJTO+9t0mZZELaxNRJcf1Dtuz5T5nJTJInH74b5uz1/2vNPufsNtexu7vriITV1dWLJyYm&#10;Hmxra/vQ5XL9mZaWNhYTE7PrdDonS0pKclpaWj51u92PrqysXMracDFcsGNnZ+eUvr6+l6UQNwoJ&#10;l9TUVE9HR8c729vbp7GnHYYLViwvL19WWFhYyon3Q15eXu3CwsK17G2F4QIjvXVqb2/vqwkJCf9w&#10;skiIi4tbl158V3rxdM7FGC7oyHN1ifSWixMcBNKLdbgbnDOs4vB8FRcXF7DpQXLy5Mkaux40XFDI&#10;rXyFzayIjY3dzszM7JK3NiM7O7tNPm9xjBXytn/AuW2L8/l8V4Z6xqQAf2Nj49czMzN3bG5uHtP1&#10;fr//LK/XexuGEzxjrNWR9s25ubmbuQbT4vC65+fnV7KJjvROqxjewlozFhcXr8HtYw/ya9va2jqT&#10;tQYzjEcs1qmurv5VjM5gnR34wtLLX7GXTlNT05esMxhlZGQMslCBHttvYQoUWFBQUMGeiqSkpHm8&#10;hLomyGB9ff0CFin2no2bOOl+kGf5CrtnGe16fJB4cnLyPhYopNu/4GSR0NnZ+TZ7K4aHh5/VY4OE&#10;7e3t77NA4fF47uJEkTA/P38DeysaGhq+02ODhFhdsGCPHRkuzuFEkYBBV27tikmOXXkm/9Jjg4RW&#10;qw0MsJwkGqyGKil6WV+5BInw0LMAlJeXJ3KCaKitrf2Jcyj0OxQksiquqqrqN04QDXZjnmVxGAhF&#10;+A0zOjr6FCeIhoiKOyr+Ly5Sjqw4LOOx8hgaGjohS6TP8BefcZ1jFYdSnCpkcHDwhbq6uh8xkWNs&#10;4gQA19GOOMRjY6MKPvDilpaWrrJbVYQD9PA5sOIwYnd1db0ZHx+/ykaRAB/ZNBXzdUXYxcm3vFqm&#10;mr/Z4DAJWdxeb70l33KNxYdNyOJqamp+ZtFRYVucLDjvZ4EViYmJPnnIy+vr63/AEDI7O3sr/uIz&#10;rqOdNaGwLG5jY+N8p9M5wQImNze3AYXYjWUA7YhDPHtYYVlcRUVFPAfryKplQ1bL79nt0s1APHTQ&#10;sydjWpysPJ7kQB359o0ykF7HifcD9KF6UfYRT6v4wD84CExOTp7lQAXO19bW1i7kZJEAH/hxDkVK&#10;SooX9SA2IJCNxfccpDM+Pv4wJ4kG8XuEc+igHsQFgu0G2oNeBSvE93fOpUA9iLHdDcmGZ1R/QK3A&#10;OZsMIc83Nzd/PjAw8GI4p5fwhT/nBKgHdWEfeSM3KqR7v2VTHRy+YLNtduSFHpeh6TzW6GCfyjoF&#10;9reO/v7+l7hBMTIy8gwb6oQaerAPtRsLscNnjQJ3AFPVL9yg8Pl8l7Ohwu12P8bxZnR3d7/OWgXO&#10;RjhegSnUYTXuyNAyx6c+OpWVlbGsMQPTGGsV8Ece1oC8vLx67FVNR+2ioqISNtPJysrqZI0ZOFWy&#10;+5LIwxqAuhwyIE5xA8BpIxvpWB0pMDJXj7NWR/K0s2ZPN+nAT0HcAPAG+v3+s9lMgb0Ba8xwuVyZ&#10;rFXIcHIMh92sAaWlpdmO1tbWj7lBMTMzczsbKvCyWG1uFEjs9XqPs1aBw27WKKSujzCVPMQNCnnT&#10;3mBDHeyqcKrOOgVWIqzRwd6ENQr86IeJ+CJuUJSVlTnZkMGpOnZV6hAIvZWTk9MyNTV1L8cy8Oec&#10;CtQVCLKaRoQdj8dzN5uagdlCpq3r8Rxxmxnie49JvgDp6ekjiAkEyjdI4wA9UKahc9k8GuBn0yG4&#10;Y2mICwTLNPIcB+jIPPkHJ4gG+HEOHdSDuEAwBkmb82AlCDrpjhTM1+ytgzrUoP2fCKtPrEI5WCec&#10;lYYV0EHPnjr6KhgEGYyNjT3BAgaH2vKaP8DJ7UC81WG4DvLrOoNRuBO6PLTpPT09r2GQxa+Eusfe&#10;r4bH0Y441pqBvFyLobhw9646mOowR6IQ/DVbfNqB+Rd5uRZDcWB6evpOuf/TbHIYIA+mMa7BsjiA&#10;LZysdBPY7CCBv92W03CBkRXv43b7zEiAH3w5F2O4YAZ+6gy1XwgX+MCPc5hhuGAH9g1Y/2EhyEnt&#10;wIJWdLnQs6cdhgvhgv9zgp27rLs+wcJQveH4i8+4jnbEsTZc/gWG8ULNgBhBLgAAAABJRU5ErkJg&#10;glBLAwQKAAAAAAAAACEA1Iz9LmAJAABgCQAAFAAAAGRycy9tZWRpYS9pbWFnZTIuanBn/9j/4AAQ&#10;SkZJRgABAQEAYABgAAD/2wBDAAMCAgMCAgMDAwMEAwMEBQgFBQQEBQoHBwYIDAoMDAsKCwsNDhIQ&#10;DQ4RDgsLEBYQERMUFRUVDA8XGBYUGBIUFRT/2wBDAQMEBAUEBQkFBQkUDQsNFBQUFBQUFBQUFBQU&#10;FBQUFBQUFBQUFBQUFBQUFBQUFBQUFBQUFBQUFBQUFBQUFBQUFBT/wAARCABEAEI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U6Q0E4GTXjPx&#10;p+OA8II+k6Kq3etOOmcrCP7zY/QVpTpyqzUIK7ZEpKC5pHpfiPxpo3hS0e51S/hs4V6tK4UV5RrP&#10;7YPgPTJjHBcXOoMCQTbQsQPxOAfwr5N8Z39xqmom+8TalLe3cmWVHb5VGeijoB7CuZfX9FtSMICB&#10;1HGP508XjMnyuXssbXbqdYwV7er2++x2YPK83zSPtMHQtDvJ2T9P6Z9n6f8AtmeBrucJP9ts1/56&#10;S25I+ny5NeoeE/ih4b8aw+ZpOqW90OMhH5H1HUV+b6+KNGmf/VKgxjAx/jW74burGa/il0u9fTtQ&#10;U5jeN9pz9R/Ws8NmWR5jJUsNXlCb2U1a/wA9v18jXFZLnWXwdXEUFKC3cXe3y3P0uBDDIORS188f&#10;B3433wnh0XxQQZ2ISG94Cyezeh/Q/wA/oSKVZkDoQynoRWtWjOhNwmtTzYTVRc0R9FFFYmhyPxN8&#10;Xp4O8L3V5wZiuyJScZY8D8Mmvm34e+FZPiJ4puPMd3hRvOvrv+NyTwo9C2D9AD6V0P7XnitrCbSL&#10;AOQh8yUjPcAAf+hGu3/Zz0BdK+F+m3roVutTLXkhI5wxwn/joU/jXp070MM6q3k7L0OOTVSryPZa&#10;nxj+3ddR+EviVp1lYRpbwDT0VY0wAACemfrXy1N4iu5ST5mPy/wr6d/4KKDd8XNN/wCvAd/9qvlL&#10;yz6H9a/M8fTg8VOTWv8AwEf09wlTi8moO3f/ANKZdXX7tT/rf5f4V6h+zz4invfjD4WtJjujlu1V&#10;lOMEc/4V5F5Z9D+Zr0j9m9Svxx8IdR/poHU+hrmo04OrB26r8z2c4px/s7EO32Jf+ks+7Piz4RXw&#10;dPFqNpHnR7ltrRdRbydcD0U849MY9K9e+AvxA/4SjQjZ3EvmXdqQhYnll/hP5fqDTfHOgJ4n8Iap&#10;pjrvNxbsEwOQ4GUI/wCBAV86/ss+MpIPiHHZlyBPEyOue6nI/Ln8zX6sr4jDSvvD8mfyO37Kql0l&#10;+Z9y0U1WBUH1oryztPiD9u2Sex8UaLKCfKmgkQfUFSf/AEKvpD4HXcV98HPB00DiRDpsK7ge4XDD&#10;8CCPwryv9unwNLrXgi31u3i3yaZJ5j4GT5bYDflwfwqh+w58TIdf8DXXhK4mH9oaPIZYI2PL27nP&#10;H+6xOf8AeFetP95gYNfYbv8AM82PuYuSf2krfI+ef+Chybvi5pvBP+gj/wBCr5ZEBPb9P/r19W/8&#10;FBow/wAW9PH/AE4j0/vV82WWiS3XITg/SvyzMqihiZ3f9WR/VnCNlkmHb/vf+lMxjAf7v6f/AF69&#10;D/Z1jK/HDwgcf8vo7exrnLjw7LEmdmfyrrv2fbcw/G3wjldpF6PT0NcmFqqdaFn1X5ns5vyvLcS1&#10;/JP/ANJZ+p80yW8DSyMEjRdzMegAHJr4X/ZikkvvjpZmFiYleeQ4PUYI/qK+nf2j/iFB8OvhTqU/&#10;mhNR1FDZWUYPJZhhm+irk/lXjP7CHgeXUfEOo+JJoz5EQFvC5HU9XP8A6DX69h37PDVZvrZI/jmt&#10;7+IpwXS7Z93R/wCrX6CipAABiivJPSMnxT4ft/E2iXWn3UaywzRsjIwyCCMEV+Z/j7wx4o/ZY+K8&#10;GraUXS3jmL2dwwykkZ+9E/4cH86/UeuO+JHww0X4laHPp2rWcdzFIOjDkHsQex966aFd0W9Lp7ow&#10;rUVVS1s1sz8zvj18XNL+O/jbTNYsYZLO4hs0iu7WT/llJk5wccqexrs/gv8As/6v8R7iNxHJp+jK&#10;R5uoSLjcO6xggZPv0Hv2h+L37B/i3wnqF9eeEbk6lptwVJtiwjnULn5Q2cEc+xrjtJ+M3x7+Dtmu&#10;lxSapa2VuPLWC809Z0T6FlP86+fnkdLFYyeJnJON9I/Jb/5H2y4sr4TKqOW0IuMknzSXnJvT5Pf/&#10;AIc9w+L/AOys/hHTxe+G0udT09FxLDI5eaPg5YHqw46dea+dPDOraf8ADr4kaJr+oiT7Fp9z5syx&#10;DLkcjAHqSQK37j9pr9oLx1C1jBd6gFf5WGn6WsbEHj7ypkfnV34cfsc/Ef4kXpl195dH0+6fzJ2v&#10;H82ZjuBJC54Jx3PfpWdfIaaxEMVSko2auu6vq12Zpl3F1enhKuBxCc4yhJJ9m4tJPur/ADQeI/Fv&#10;ir9rH4o28dtbtFbA+Xa2qcx2cGeWY+p6k9zxX6L/AAa+Gln8MvBtjpVsm3ykwzHqzd2PuTWN8Ff2&#10;fvD/AMH9KWDT7YGdgDJPJ80kh9WP+RXqwGBX01ev7RKEFaK2PhKNHkvKTvJ7i0UUVyHSFFFFADJI&#10;klGHUMPcVm3Xh3TrrJktY2/4DRRQIZb+GNLgbKWcan/drTitooBiNFQewoooBEtFFFAwooooA//Z&#10;UEsDBBQABgAIAAAAIQCmxuLl3QAAAAUBAAAPAAAAZHJzL2Rvd25yZXYueG1sTI/NasNADITvhb7D&#10;okBvzdoJ+cHxOoTQ9hQKTQqlN8VWbBOv1ng3tvP2VU/tSYxGzHxKt6NtVE+drx0biKcRKOLcFTWX&#10;Bj5Pr89rUD4gF9g4JgN38rDNHh9STAo38Af1x1AqCWGfoIEqhDbR2ucVWfRT1xKLd3GdxSCyK3XR&#10;4SDhttGzKFpqizVLQ4Ut7SvKr8ebNfA24LCbxy/94XrZ379Pi/evQ0zGPE3G3QZUoDH8HcMvvqBD&#10;Jkxnd+PCq8aAPBJku5Qp7noxA3U2sJqvQGep/k+f/QAAAP//AwBQSwMEFAAGAAgAAAAhAOZ79zTH&#10;AAAApQEAABkAAABkcnMvX3JlbHMvZTJvRG9jLnhtbC5yZWxzvJDBigIxDIbvC75Dyd3pzBxkWex4&#10;kQWviz5AaDOd6jQtbXfRt7foZQXBm8ck/N//kfXm7GfxRym7wAq6pgVBrINxbBUc9t/LTxC5IBuc&#10;A5OCC2XYDIuP9Q/NWGooTy5mUSmcFUylxC8ps57IY25CJK6XMSSPpY7Jyoj6hJZk37Yrmf4zYHhg&#10;ip1RkHamB7G/xNr8mh3G0WnaBv3ricuTCul87a5ATJaKAk/G4X3ZN8doQT536N7j0DWRbw7y4bnD&#10;FQAA//8DAFBLAQItABQABgAIAAAAIQAG7fvuFQEAAEYCAAATAAAAAAAAAAAAAAAAAAAAAABbQ29u&#10;dGVudF9UeXBlc10ueG1sUEsBAi0AFAAGAAgAAAAhADj9If/WAAAAlAEAAAsAAAAAAAAAAAAAAAAA&#10;RgEAAF9yZWxzLy5yZWxzUEsBAi0AFAAGAAgAAAAhANauRjUkCgAALDcAAA4AAAAAAAAAAAAAAAAA&#10;RQIAAGRycy9lMm9Eb2MueG1sUEsBAi0ACgAAAAAAAAAhAHZAcp2ZBgAAmQYAABQAAAAAAAAAAAAA&#10;AAAAlQwAAGRycy9tZWRpYS9pbWFnZTEucG5nUEsBAi0ACgAAAAAAAAAhANSM/S5gCQAAYAkAABQA&#10;AAAAAAAAAAAAAAAAYBMAAGRycy9tZWRpYS9pbWFnZTIuanBnUEsBAi0AFAAGAAgAAAAhAKbG4uXd&#10;AAAABQEAAA8AAAAAAAAAAAAAAAAA8hwAAGRycy9kb3ducmV2LnhtbFBLAQItABQABgAIAAAAIQDm&#10;e/c0xwAAAKUBAAAZAAAAAAAAAAAAAAAAAPwdAABkcnMvX3JlbHMvZTJvRG9jLnhtbC5yZWxzUEsF&#10;BgAAAAAHAAcAvgEAAPoeAAAAAA==&#10;">
                <v:group id="Group 1093623526" o:spid="_x0000_s1028" style="position:absolute;left:50753;top:35969;width:5413;height:3661" coordsize="5412,36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iDyQAAAOMAAAAPAAAAZHJzL2Rvd25yZXYueG1sRE9La8JA&#10;EL4L/Q/LCL3VzQNDG11FpC09SKGxIN6G7JgEs7Mhu03iv+8WCh7ne896O5lWDNS7xrKCeBGBIC6t&#10;brhS8H18e3oG4TyyxtYyKbiRg+3mYbbGXNuRv2gofCVCCLscFdTed7mUrqzJoFvYjjhwF9sb9OHs&#10;K6l7HEO4aWUSRZk02HBoqLGjfU3ltfgxCt5HHHdp/Docrpf97Xxcfp4OMSn1OJ92KxCeJn8X/7s/&#10;dJgfvaRZki6TDP5+CgDIzS8AAAD//wMAUEsBAi0AFAAGAAgAAAAhANvh9svuAAAAhQEAABMAAAAA&#10;AAAAAAAAAAAAAAAAAFtDb250ZW50X1R5cGVzXS54bWxQSwECLQAUAAYACAAAACEAWvQsW78AAAAV&#10;AQAACwAAAAAAAAAAAAAAAAAfAQAAX3JlbHMvLnJlbHNQSwECLQAUAAYACAAAACEATEv4g8kAAADj&#10;AAAADwAAAAAAAAAAAAAAAAAHAgAAZHJzL2Rvd25yZXYueG1sUEsFBgAAAAADAAMAtwAAAP0CAAAA&#10;AA==&#10;">
                  <v:rect id="Rectangle 697292818" o:spid="_x0000_s1029" style="position:absolute;width:5412;height:36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VLixgAAAOIAAAAPAAAAZHJzL2Rvd25yZXYueG1sRE/dTsIw&#10;FL438R2aY+KddDRmskEhSjQRr2TwAIf1sC6sp2OtMN/eXpB4+eX7X6xG14kLDaH1rGE6yUAQ1960&#10;3GjY7z6eZiBCRDbYeSYNvxRgtby/W2Bp/JW3dKliI1IIhxI12Bj7UspQW3IYJr4nTtzRDw5jgkMj&#10;zYDXFO46qbIslw5bTg0We1pbqk/Vj9Pw/exJvavwVjWusONh97U5Y67148P4OgcRaYz/4pv702jI&#10;ixdVqNk0bU6X0h2Qyz8AAAD//wMAUEsBAi0AFAAGAAgAAAAhANvh9svuAAAAhQEAABMAAAAAAAAA&#10;AAAAAAAAAAAAAFtDb250ZW50X1R5cGVzXS54bWxQSwECLQAUAAYACAAAACEAWvQsW78AAAAVAQAA&#10;CwAAAAAAAAAAAAAAAAAfAQAAX3JlbHMvLnJlbHNQSwECLQAUAAYACAAAACEA9ClS4sYAAADiAAAA&#10;DwAAAAAAAAAAAAAAAAAHAgAAZHJzL2Rvd25yZXYueG1sUEsFBgAAAAADAAMAtwAAAPoCAAAAAA==&#10;" filled="f" stroked="f">
                    <v:textbox inset="2.53958mm,2.53958mm,2.53958mm,2.53958mm">
                      <w:txbxContent>
                        <w:p w14:paraId="7AD4D4F6" w14:textId="77777777" w:rsidR="00627A8F" w:rsidRDefault="00627A8F">
                          <w:pPr>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8" o:spid="_x0000_s1030" type="#_x0000_t75" style="position:absolute;left:3583;width:1829;height:2901;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dHrwgAAANoAAAAPAAAAZHJzL2Rvd25yZXYueG1sRE/Pa8Iw&#10;FL4P9j+EN/AyZmodY3TGMqZCFS+6DTw+mrc22LyUJrb1vzcHYceP7/ciH20jeuq8caxgNk1AEJdO&#10;G64U/HxvXt5B+ICssXFMCq7kIV8+Piww027gA/XHUIkYwj5DBXUIbSalL2uy6KeuJY7cn+sshgi7&#10;SuoOhxhuG5kmyZu0aDg21NjSV03l+XixCorzZvU8rNN+ftrtTr/eFPuteVVq8jR+foAINIZ/8d1d&#10;aAVxa7wSb4Bc3gAAAP//AwBQSwECLQAUAAYACAAAACEA2+H2y+4AAACFAQAAEwAAAAAAAAAAAAAA&#10;AAAAAAAAW0NvbnRlbnRfVHlwZXNdLnhtbFBLAQItABQABgAIAAAAIQBa9CxbvwAAABUBAAALAAAA&#10;AAAAAAAAAAAAAB8BAABfcmVscy8ucmVsc1BLAQItABQABgAIAAAAIQCOmdHrwgAAANoAAAAPAAAA&#10;AAAAAAAAAAAAAAcCAABkcnMvZG93bnJldi54bWxQSwUGAAAAAAMAAwC3AAAA9gIAAAAA&#10;">
                    <v:imagedata r:id="rId10" o:title=""/>
                  </v:shape>
                  <v:shape id="Shape 9" o:spid="_x0000_s1031" type="#_x0000_t75" style="position:absolute;width:3041;height:310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JtwwAAANoAAAAPAAAAZHJzL2Rvd25yZXYueG1sRI9BawIx&#10;FITvgv8hvEIvotlWLLoapZRaWsGCq94fm9dNcPOybFLd/nsjFDwOM/MNs1h1rhZnaoP1rOBplIEg&#10;Lr22XCk47NfDKYgQkTXWnknBHwVYLfu9BebaX3hH5yJWIkE45KjAxNjkUobSkMMw8g1x8n586zAm&#10;2VZSt3hJcFfL5yx7kQ4tpwWDDb0ZKk/Fr1Mw3m4GH8d3i2vjB19j+z05FLuJUo8P3escRKQu3sP/&#10;7U+tYAa3K+kGyOUVAAD//wMAUEsBAi0AFAAGAAgAAAAhANvh9svuAAAAhQEAABMAAAAAAAAAAAAA&#10;AAAAAAAAAFtDb250ZW50X1R5cGVzXS54bWxQSwECLQAUAAYACAAAACEAWvQsW78AAAAVAQAACwAA&#10;AAAAAAAAAAAAAAAfAQAAX3JlbHMvLnJlbHNQSwECLQAUAAYACAAAACEAYP1CbcMAAADaAAAADwAA&#10;AAAAAAAAAAAAAAAHAgAAZHJzL2Rvd25yZXYueG1sUEsFBgAAAAADAAMAtwAAAPcCAAAAAA==&#10;">
                    <v:imagedata r:id="rId11" o:title=""/>
                  </v:shape>
                  <v:shape id="Freeform: Shape 1739844007" o:spid="_x0000_s1032" style="position:absolute;top:3114;width:3213;height:547;visibility:visible;mso-wrap-style:square;v-text-anchor:middle" coordsize="50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6iryQAAAOMAAAAPAAAAZHJzL2Rvd25yZXYueG1sRE9fa8Iw&#10;EH8f+B3CDfYiM9lW2q4zigqDMUHQ7WG+Hc2trWsupYlav/0yGPh4v/83nQ+2FSfqfeNYw8NEgSAu&#10;nWm40vD58Xqfg/AB2WDrmDRcyMN8NrqZYmHcmbd02oVKxBD2BWqoQ+gKKX1Zk0U/cR1x5L5dbzHE&#10;s6+k6fEcw20rH5VKpcWGY0ONHa1qKn92R6vBbvZm79ZfnJbLQ4LyfZxe8rHWd7fD4gVEoCFcxf/u&#10;NxPnZ0/PeZIolcHfTxEAOfsFAAD//wMAUEsBAi0AFAAGAAgAAAAhANvh9svuAAAAhQEAABMAAAAA&#10;AAAAAAAAAAAAAAAAAFtDb250ZW50X1R5cGVzXS54bWxQSwECLQAUAAYACAAAACEAWvQsW78AAAAV&#10;AQAACwAAAAAAAAAAAAAAAAAfAQAAX3JlbHMvLnJlbHNQSwECLQAUAAYACAAAACEA/Cuoq8kAAADj&#10;AAAADwAAAAAAAAAAAAAAAAAHAgAAZHJzL2Rvd25yZXYueG1sUEsFBgAAAAADAAMAtwAAAP0CAAAA&#10;AA==&#10;" path="m65,67r-5,l60,75r-7,4l48,81r-6,l30,78,20,71,14,60,11,47,14,33,19,23,29,16,40,14r8,l53,16r7,5l60,26r5,l65,7r-5,l60,12,53,9,47,8r-7,l24,11,12,19,3,32,,47,3,63r9,13l25,84r16,3l49,87r7,-1l65,82r,-15xm111,36r-4,-3l104,32r-4,l97,34,88,45r,-13l86,32,70,36r,3l80,39r,42l71,81r,4l99,85r,-4l88,81r,-31l95,43r2,-2l100,41r2,1l104,44r7,-8xm162,44r-7,-8l152,33r,13l152,72r-7,10l128,82,121,72r,-26l128,36r17,l152,46r,-13l150,32r-28,l111,44r,30l122,87r28,l155,82r7,-8l162,44xm207,64r-4,-4l192,55,178,50r-1,-1l177,39r4,-3l193,36r6,4l199,44r-1,4l203,48r3,-17l201,31r-1,5l197,33r-4,-1l177,32r-7,6l170,54r4,4l197,67r3,3l200,79r-5,3l182,82r-7,-4l175,70r-5,l170,86r5,l175,82r3,3l183,87r6,l200,87r7,-7l207,64xm253,64r-3,-4l239,55,225,50r-1,-1l224,39r4,-3l240,36r5,4l245,44r-1,4l249,48r3,-17l247,31r,5l243,33r-4,-1l224,32r-8,6l216,54r4,4l244,67r3,3l247,79r-5,3l229,82r-7,-4l222,70r-5,l217,86r4,l221,82r4,3l230,87r6,l246,87r7,-7l253,64xm353,9r-19,l307,68,281,9r-18,l263,13r8,l271,81r-8,l263,85r23,l286,81r-9,l277,23r28,63l334,24r,57l325,81r,4l353,85r,-4l344,81r,-68l353,13r,-4xm405,80r-9,l396,78r,-16l396,37r-1,-1l389,32r-20,l361,37r,7l362,46r10,-2l372,38r4,-2l377,36r7,l388,39r,18l388,62r,12l382,78r-3,2l371,80r-3,-3l368,66r20,-4l388,57r-26,6l358,68r,13l364,87r14,l383,84r3,-4l388,78r,6l390,86r3,l397,86r8,-3l405,80xm449,36r-3,-3l443,32r-5,l435,34r-8,11l427,32r-2,l408,36r,3l419,39r,42l410,81r,4l438,85r,-4l427,81r,-31l433,43r3,-2l439,41r1,1l443,44r6,-8xm475,81r-9,l466,r-2,l447,5r,3l458,8r,73l449,81r,4l475,85r,-4xm505,81r-6,l476,54,494,37r9,l503,33r-23,l480,37r8,l467,57r24,28l505,85r,-4xe" fillcolor="black" stroked="f">
                    <v:path arrowok="t" o:extrusionok="f"/>
                  </v:shape>
                </v:group>
              </v:group>
            </w:pict>
          </mc:Fallback>
        </mc:AlternateContent>
      </w:r>
    </w:p>
    <w:p w14:paraId="3DDC9679" w14:textId="0D1C3C5C" w:rsidR="00627A8F" w:rsidRDefault="00206075">
      <w:pPr>
        <w:widowControl w:val="0"/>
        <w:pBdr>
          <w:top w:val="nil"/>
          <w:left w:val="nil"/>
          <w:bottom w:val="nil"/>
          <w:right w:val="nil"/>
          <w:between w:val="nil"/>
        </w:pBdr>
        <w:spacing w:line="239" w:lineRule="auto"/>
        <w:ind w:left="2268" w:right="49"/>
        <w:rPr>
          <w:rFonts w:ascii="Century Gothic" w:eastAsia="Century Gothic" w:hAnsi="Century Gothic" w:cs="Century Gothic"/>
          <w:color w:val="000000"/>
          <w:sz w:val="18"/>
          <w:szCs w:val="18"/>
        </w:rPr>
      </w:pPr>
      <w:r>
        <w:rPr>
          <w:rFonts w:ascii="Century Gothic" w:eastAsia="Century Gothic" w:hAnsi="Century Gothic" w:cs="Century Gothic"/>
          <w:sz w:val="18"/>
          <w:szCs w:val="18"/>
        </w:rPr>
        <w:t xml:space="preserve">Adriel Brian Mahendra¹, Enie Wahyuning Handayani² </w:t>
      </w:r>
    </w:p>
    <w:p w14:paraId="528571DA" w14:textId="77777777" w:rsidR="00627A8F" w:rsidRDefault="00627A8F">
      <w:pPr>
        <w:widowControl w:val="0"/>
        <w:pBdr>
          <w:top w:val="nil"/>
          <w:left w:val="nil"/>
          <w:bottom w:val="nil"/>
          <w:right w:val="nil"/>
          <w:between w:val="nil"/>
        </w:pBdr>
        <w:spacing w:line="239" w:lineRule="auto"/>
        <w:ind w:left="2268" w:right="49"/>
        <w:rPr>
          <w:rFonts w:ascii="Century Gothic" w:eastAsia="Century Gothic" w:hAnsi="Century Gothic" w:cs="Century Gothic"/>
          <w:color w:val="000000"/>
          <w:sz w:val="18"/>
          <w:szCs w:val="18"/>
        </w:rPr>
      </w:pPr>
    </w:p>
    <w:p w14:paraId="646DA67D" w14:textId="77777777" w:rsidR="00627A8F" w:rsidRDefault="00000000">
      <w:pPr>
        <w:widowControl w:val="0"/>
        <w:pBdr>
          <w:top w:val="nil"/>
          <w:left w:val="nil"/>
          <w:bottom w:val="nil"/>
          <w:right w:val="nil"/>
          <w:between w:val="nil"/>
        </w:pBdr>
        <w:spacing w:line="239" w:lineRule="auto"/>
        <w:ind w:left="2268" w:right="49"/>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vertAlign w:val="superscript"/>
        </w:rPr>
        <w:t>1Surabaya State University, Surabaya, Indonesia</w:t>
      </w:r>
    </w:p>
    <w:p w14:paraId="5D98F1A2" w14:textId="77777777" w:rsidR="00627A8F" w:rsidRDefault="00000000">
      <w:pPr>
        <w:widowControl w:val="0"/>
        <w:pBdr>
          <w:top w:val="nil"/>
          <w:left w:val="nil"/>
          <w:bottom w:val="nil"/>
          <w:right w:val="nil"/>
          <w:between w:val="nil"/>
        </w:pBdr>
        <w:spacing w:line="239" w:lineRule="auto"/>
        <w:ind w:left="2268" w:right="49"/>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vertAlign w:val="superscript"/>
        </w:rPr>
        <w:t>2 Unesa University, Surabaya, Indonesia</w:t>
      </w:r>
    </w:p>
    <w:p w14:paraId="4F7AC717" w14:textId="590BBE8F" w:rsidR="00627A8F" w:rsidRDefault="00000000">
      <w:pPr>
        <w:widowControl w:val="0"/>
        <w:pBdr>
          <w:top w:val="nil"/>
          <w:left w:val="nil"/>
          <w:bottom w:val="nil"/>
          <w:right w:val="nil"/>
          <w:between w:val="nil"/>
        </w:pBdr>
        <w:spacing w:line="239" w:lineRule="auto"/>
        <w:ind w:left="2268" w:right="49"/>
        <w:rPr>
          <w:rFonts w:ascii="Century Gothic" w:eastAsia="Century Gothic" w:hAnsi="Century Gothic" w:cs="Century Gothic"/>
          <w:sz w:val="18"/>
          <w:szCs w:val="18"/>
        </w:rPr>
      </w:pPr>
      <w:r>
        <w:rPr>
          <w:rFonts w:ascii="Century Gothic" w:eastAsia="Century Gothic" w:hAnsi="Century Gothic" w:cs="Century Gothic"/>
          <w:color w:val="000000"/>
          <w:sz w:val="18"/>
          <w:szCs w:val="18"/>
        </w:rPr>
        <w:t xml:space="preserve">Email: </w:t>
      </w:r>
      <w:r w:rsidR="00F12C22">
        <w:rPr>
          <w:rFonts w:ascii="Century Gothic" w:eastAsia="Century Gothic" w:hAnsi="Century Gothic" w:cs="Century Gothic"/>
          <w:color w:val="1155CC"/>
          <w:sz w:val="18"/>
          <w:szCs w:val="18"/>
          <w:u w:val="single"/>
        </w:rPr>
        <w:fldChar w:fldCharType="begin"/>
      </w:r>
      <w:r w:rsidR="00F12C22">
        <w:rPr>
          <w:rFonts w:ascii="Century Gothic" w:eastAsia="Century Gothic" w:hAnsi="Century Gothic" w:cs="Century Gothic"/>
          <w:color w:val="1155CC"/>
          <w:sz w:val="18"/>
          <w:szCs w:val="18"/>
          <w:u w:val="single"/>
        </w:rPr>
        <w:instrText>HYPERLINK "mailto:24020134053@mhs.unesa.ac.id</w:instrText>
      </w:r>
      <w:r w:rsidR="00F12C22" w:rsidRPr="00F12C22">
        <w:instrText>adriel.22072@mhs.unesa.ac.id</w:instrText>
      </w:r>
      <w:r w:rsidR="00F12C22">
        <w:rPr>
          <w:rFonts w:ascii="Century Gothic" w:eastAsia="Century Gothic" w:hAnsi="Century Gothic" w:cs="Century Gothic"/>
          <w:color w:val="1155CC"/>
          <w:sz w:val="18"/>
          <w:szCs w:val="18"/>
          <w:u w:val="single"/>
        </w:rPr>
        <w:instrText>"</w:instrText>
      </w:r>
      <w:r w:rsidR="00F12C22">
        <w:rPr>
          <w:rFonts w:ascii="Century Gothic" w:eastAsia="Century Gothic" w:hAnsi="Century Gothic" w:cs="Century Gothic"/>
          <w:color w:val="1155CC"/>
          <w:sz w:val="18"/>
          <w:szCs w:val="18"/>
          <w:u w:val="single"/>
        </w:rPr>
        <w:fldChar w:fldCharType="separate"/>
      </w:r>
      <w:r w:rsidR="00F12C22" w:rsidRPr="0031723D">
        <w:rPr>
          <w:rStyle w:val="Hyperlink"/>
        </w:rPr>
        <w:t>adriel.22072@mhs.unesa.ac.id</w:t>
      </w:r>
      <w:r w:rsidR="00F12C22">
        <w:rPr>
          <w:rFonts w:ascii="Century Gothic" w:eastAsia="Century Gothic" w:hAnsi="Century Gothic" w:cs="Century Gothic"/>
          <w:color w:val="1155CC"/>
          <w:sz w:val="18"/>
          <w:szCs w:val="18"/>
          <w:u w:val="single"/>
        </w:rPr>
        <w:fldChar w:fldCharType="end"/>
      </w:r>
      <w:r w:rsidR="00F12C22">
        <w:rPr>
          <w:rFonts w:ascii="Century Gothic" w:eastAsia="Century Gothic" w:hAnsi="Century Gothic" w:cs="Century Gothic"/>
          <w:sz w:val="18"/>
          <w:szCs w:val="18"/>
        </w:rPr>
        <w:t>¹</w:t>
      </w:r>
      <w:r w:rsidR="00F12C22">
        <w:t xml:space="preserve">, </w:t>
      </w:r>
      <w:hyperlink r:id="rId12" w:history="1">
        <w:r w:rsidR="00F12C22" w:rsidRPr="0031723D">
          <w:rPr>
            <w:rStyle w:val="Hyperlink"/>
          </w:rPr>
          <w:t>eniewahyuning@unesa.ac.id</w:t>
        </w:r>
      </w:hyperlink>
      <w:r w:rsidR="00F12C22">
        <w:rPr>
          <w:rFonts w:ascii="Century Gothic" w:eastAsia="Century Gothic" w:hAnsi="Century Gothic" w:cs="Century Gothic"/>
          <w:sz w:val="18"/>
          <w:szCs w:val="18"/>
        </w:rPr>
        <w:t>²</w:t>
      </w:r>
    </w:p>
    <w:p w14:paraId="3434A522" w14:textId="77777777" w:rsidR="00627A8F" w:rsidRDefault="00627A8F">
      <w:pPr>
        <w:widowControl w:val="0"/>
        <w:pBdr>
          <w:top w:val="nil"/>
          <w:left w:val="nil"/>
          <w:bottom w:val="nil"/>
          <w:right w:val="nil"/>
          <w:between w:val="nil"/>
        </w:pBdr>
        <w:spacing w:line="239" w:lineRule="auto"/>
        <w:ind w:left="2268" w:right="49"/>
        <w:rPr>
          <w:rFonts w:ascii="Century Gothic" w:eastAsia="Century Gothic" w:hAnsi="Century Gothic" w:cs="Century Gothic"/>
          <w:sz w:val="18"/>
          <w:szCs w:val="18"/>
        </w:rPr>
      </w:pPr>
    </w:p>
    <w:p w14:paraId="62AFD2C8" w14:textId="754E865E" w:rsidR="00627A8F" w:rsidRDefault="00000000">
      <w:pPr>
        <w:pBdr>
          <w:top w:val="nil"/>
          <w:left w:val="nil"/>
          <w:bottom w:val="nil"/>
          <w:right w:val="nil"/>
          <w:between w:val="nil"/>
        </w:pBdr>
        <w:ind w:left="2268"/>
        <w:jc w:val="both"/>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ABSTRACT: </w:t>
      </w:r>
      <w:r w:rsidR="00206075" w:rsidRPr="00206075">
        <w:rPr>
          <w:rFonts w:ascii="Century Gothic" w:eastAsia="Century Gothic" w:hAnsi="Century Gothic" w:cs="Century Gothic"/>
          <w:sz w:val="18"/>
          <w:szCs w:val="18"/>
        </w:rPr>
        <w:t xml:space="preserve">Traditional dance extracurricular programs play a strategic role in cultivating both technical dance skills and character values among students, particularly in vocational secondary schools where such programs often serve as a bridge between formal education and community-based cultural preservation. This study examines the implementation of imitation and drill methods in the learning of the </w:t>
      </w:r>
      <w:r w:rsidR="00206075" w:rsidRPr="00206075">
        <w:rPr>
          <w:rFonts w:ascii="Century Gothic" w:eastAsia="Century Gothic" w:hAnsi="Century Gothic" w:cs="Century Gothic"/>
          <w:i/>
          <w:iCs/>
          <w:sz w:val="18"/>
          <w:szCs w:val="18"/>
        </w:rPr>
        <w:t>Wanci Kahuripan</w:t>
      </w:r>
      <w:r w:rsidR="00206075" w:rsidRPr="00206075">
        <w:rPr>
          <w:rFonts w:ascii="Century Gothic" w:eastAsia="Century Gothic" w:hAnsi="Century Gothic" w:cs="Century Gothic"/>
          <w:sz w:val="18"/>
          <w:szCs w:val="18"/>
        </w:rPr>
        <w:t xml:space="preserve"> dance within the Sekar Arum dance extracurricular program at SMKN 1 Jetis Mojokerto. The research employed a qualitative descriptive case study approach, with data collected through in-depth interviews with the extracurricular instructor, direct observation of training sessions, and documentation of student performances. The findings show that the imitation method facilitates students' initial recognition and comprehension of movement, while the drill method strengthens precision, tempo accuracy, and physical coordination through repeated practice. Continuous evaluation, combined with a personalized approach to each student, contributed to a learning atmosphere in which technical competence (</w:t>
      </w:r>
      <w:r w:rsidR="00206075" w:rsidRPr="00206075">
        <w:rPr>
          <w:rFonts w:ascii="Century Gothic" w:eastAsia="Century Gothic" w:hAnsi="Century Gothic" w:cs="Century Gothic"/>
          <w:i/>
          <w:iCs/>
          <w:sz w:val="18"/>
          <w:szCs w:val="18"/>
        </w:rPr>
        <w:t>wiraga</w:t>
      </w:r>
      <w:r w:rsidR="00206075" w:rsidRPr="00206075">
        <w:rPr>
          <w:rFonts w:ascii="Century Gothic" w:eastAsia="Century Gothic" w:hAnsi="Century Gothic" w:cs="Century Gothic"/>
          <w:sz w:val="18"/>
          <w:szCs w:val="18"/>
        </w:rPr>
        <w:t>) developed alongside emotional and moral internalization (</w:t>
      </w:r>
      <w:r w:rsidR="00206075" w:rsidRPr="00206075">
        <w:rPr>
          <w:rFonts w:ascii="Century Gothic" w:eastAsia="Century Gothic" w:hAnsi="Century Gothic" w:cs="Century Gothic"/>
          <w:i/>
          <w:iCs/>
          <w:sz w:val="18"/>
          <w:szCs w:val="18"/>
        </w:rPr>
        <w:t>wirasa</w:t>
      </w:r>
      <w:r w:rsidR="00206075" w:rsidRPr="00206075">
        <w:rPr>
          <w:rFonts w:ascii="Century Gothic" w:eastAsia="Century Gothic" w:hAnsi="Century Gothic" w:cs="Century Gothic"/>
          <w:sz w:val="18"/>
          <w:szCs w:val="18"/>
        </w:rPr>
        <w:t>) of the values embodied in the story of Mbah Semi, the legendary figure represented in the dance. The results were further evidenced by students' increasing self-confidence and their active participation in performances outside the school environment, including a regional Independence Day commemoration and a cultural exhibition opening. This study contributes to the growing body of literature on traditional dance pedagogy by demonstrating how the complementary application of behaviorist-oriented teaching methods can simultaneously support technical mastery and character education in extracurricular settings.</w:t>
      </w:r>
    </w:p>
    <w:p w14:paraId="0E361CCC" w14:textId="77777777" w:rsidR="00627A8F" w:rsidRDefault="00000000">
      <w:pPr>
        <w:pBdr>
          <w:top w:val="nil"/>
          <w:left w:val="nil"/>
          <w:bottom w:val="nil"/>
          <w:right w:val="nil"/>
          <w:between w:val="nil"/>
        </w:pBdr>
        <w:ind w:left="2268"/>
        <w:jc w:val="both"/>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 </w:t>
      </w:r>
    </w:p>
    <w:p w14:paraId="68355726" w14:textId="576199F8" w:rsidR="00627A8F" w:rsidRPr="00206075" w:rsidRDefault="00000000" w:rsidP="00206075">
      <w:pPr>
        <w:pBdr>
          <w:top w:val="nil"/>
          <w:left w:val="nil"/>
          <w:bottom w:val="nil"/>
          <w:right w:val="nil"/>
          <w:between w:val="nil"/>
        </w:pBdr>
        <w:ind w:left="2268"/>
        <w:jc w:val="both"/>
        <w:rPr>
          <w:rFonts w:ascii="Century Gothic" w:eastAsia="Century Gothic" w:hAnsi="Century Gothic" w:cs="Century Gothic"/>
          <w:color w:val="000000"/>
          <w:sz w:val="18"/>
          <w:szCs w:val="18"/>
        </w:rPr>
        <w:sectPr w:rsidR="00627A8F" w:rsidRPr="00206075">
          <w:headerReference w:type="even" r:id="rId13"/>
          <w:headerReference w:type="default" r:id="rId14"/>
          <w:footerReference w:type="even" r:id="rId15"/>
          <w:footerReference w:type="default" r:id="rId16"/>
          <w:headerReference w:type="first" r:id="rId17"/>
          <w:footerReference w:type="first" r:id="rId18"/>
          <w:pgSz w:w="11907" w:h="16840"/>
          <w:pgMar w:top="1440" w:right="1440" w:bottom="1440" w:left="1440" w:header="567" w:footer="720" w:gutter="0"/>
          <w:pgNumType w:start="1"/>
          <w:cols w:space="720"/>
          <w:titlePg/>
        </w:sectPr>
      </w:pPr>
      <w:r>
        <w:rPr>
          <w:rFonts w:ascii="Century Gothic" w:eastAsia="Century Gothic" w:hAnsi="Century Gothic" w:cs="Century Gothic"/>
          <w:sz w:val="18"/>
          <w:szCs w:val="18"/>
        </w:rPr>
        <w:t xml:space="preserve">Keywords: </w:t>
      </w:r>
      <w:r w:rsidR="00206075" w:rsidRPr="00206075">
        <w:rPr>
          <w:rFonts w:ascii="Century Gothic" w:eastAsia="Century Gothic" w:hAnsi="Century Gothic" w:cs="Century Gothic"/>
          <w:color w:val="000000"/>
          <w:sz w:val="18"/>
          <w:szCs w:val="18"/>
        </w:rPr>
        <w:t>imitation method, drill method, traditional dance, extracurricular learning, Wanci Kahuripan.</w:t>
      </w:r>
    </w:p>
    <w:p w14:paraId="615D42E4" w14:textId="77777777" w:rsidR="00627A8F" w:rsidRDefault="00000000">
      <w:pPr>
        <w:pStyle w:val="Heading1"/>
        <w:ind w:firstLine="0"/>
        <w:rPr>
          <w:rFonts w:ascii="Century Gothic" w:eastAsia="Century Gothic" w:hAnsi="Century Gothic" w:cs="Century Gothic"/>
          <w:sz w:val="20"/>
          <w:szCs w:val="20"/>
        </w:rPr>
      </w:pPr>
      <w:r>
        <w:rPr>
          <w:rFonts w:ascii="Century Gothic" w:eastAsia="Century Gothic" w:hAnsi="Century Gothic" w:cs="Century Gothic"/>
          <w:sz w:val="20"/>
          <w:szCs w:val="20"/>
        </w:rPr>
        <w:t>1. INTRODUCTION</w:t>
      </w:r>
    </w:p>
    <w:p w14:paraId="426183CE" w14:textId="77777777" w:rsidR="006848C4" w:rsidRPr="006848C4" w:rsidRDefault="006848C4" w:rsidP="006848C4">
      <w:pPr>
        <w:pBdr>
          <w:top w:val="nil"/>
          <w:left w:val="nil"/>
          <w:bottom w:val="nil"/>
          <w:right w:val="nil"/>
          <w:between w:val="nil"/>
        </w:pBdr>
        <w:ind w:left="2268" w:firstLine="566"/>
        <w:jc w:val="both"/>
        <w:rPr>
          <w:rFonts w:ascii="Century Gothic" w:eastAsia="Century Gothic" w:hAnsi="Century Gothic" w:cs="Century Gothic"/>
          <w:color w:val="000000"/>
          <w:lang w:val="en-US"/>
        </w:rPr>
      </w:pPr>
      <w:r w:rsidRPr="006848C4">
        <w:rPr>
          <w:rFonts w:ascii="Century Gothic" w:eastAsia="Century Gothic" w:hAnsi="Century Gothic" w:cs="Century Gothic"/>
          <w:color w:val="000000"/>
          <w:lang w:val="en-US"/>
        </w:rPr>
        <w:t xml:space="preserve">Within the Indonesian education system, extracurricular activities occupy a formal position in the national curriculum structure, functioning as a complementary space to </w:t>
      </w:r>
      <w:proofErr w:type="spellStart"/>
      <w:r w:rsidRPr="006848C4">
        <w:rPr>
          <w:rFonts w:ascii="Century Gothic" w:eastAsia="Century Gothic" w:hAnsi="Century Gothic" w:cs="Century Gothic"/>
          <w:color w:val="000000"/>
          <w:lang w:val="en-US"/>
        </w:rPr>
        <w:t>intracurricular</w:t>
      </w:r>
      <w:proofErr w:type="spellEnd"/>
      <w:r w:rsidRPr="006848C4">
        <w:rPr>
          <w:rFonts w:ascii="Century Gothic" w:eastAsia="Century Gothic" w:hAnsi="Century Gothic" w:cs="Century Gothic"/>
          <w:color w:val="000000"/>
          <w:lang w:val="en-US"/>
        </w:rPr>
        <w:t xml:space="preserve"> learning in which students may develop talents, interests, and character beyond the standard classroom syllabus. Under the </w:t>
      </w:r>
      <w:proofErr w:type="spellStart"/>
      <w:r w:rsidRPr="006848C4">
        <w:rPr>
          <w:rFonts w:ascii="Century Gothic" w:eastAsia="Century Gothic" w:hAnsi="Century Gothic" w:cs="Century Gothic"/>
          <w:i/>
          <w:iCs/>
          <w:color w:val="000000"/>
          <w:lang w:val="en-US"/>
        </w:rPr>
        <w:t>Kurikulum</w:t>
      </w:r>
      <w:proofErr w:type="spellEnd"/>
      <w:r w:rsidRPr="006848C4">
        <w:rPr>
          <w:rFonts w:ascii="Century Gothic" w:eastAsia="Century Gothic" w:hAnsi="Century Gothic" w:cs="Century Gothic"/>
          <w:i/>
          <w:iCs/>
          <w:color w:val="000000"/>
          <w:lang w:val="en-US"/>
        </w:rPr>
        <w:t xml:space="preserve"> Merdeka</w:t>
      </w:r>
      <w:r w:rsidRPr="006848C4">
        <w:rPr>
          <w:rFonts w:ascii="Century Gothic" w:eastAsia="Century Gothic" w:hAnsi="Century Gothic" w:cs="Century Gothic"/>
          <w:color w:val="000000"/>
          <w:lang w:val="en-US"/>
        </w:rPr>
        <w:t xml:space="preserve">, arts-based extracurricular programs are explicitly positioned as a vehicle for strengthening the </w:t>
      </w:r>
      <w:proofErr w:type="spellStart"/>
      <w:r w:rsidRPr="006848C4">
        <w:rPr>
          <w:rFonts w:ascii="Century Gothic" w:eastAsia="Century Gothic" w:hAnsi="Century Gothic" w:cs="Century Gothic"/>
          <w:i/>
          <w:iCs/>
          <w:color w:val="000000"/>
          <w:lang w:val="en-US"/>
        </w:rPr>
        <w:t>Profil</w:t>
      </w:r>
      <w:proofErr w:type="spellEnd"/>
      <w:r w:rsidRPr="006848C4">
        <w:rPr>
          <w:rFonts w:ascii="Century Gothic" w:eastAsia="Century Gothic" w:hAnsi="Century Gothic" w:cs="Century Gothic"/>
          <w:i/>
          <w:iCs/>
          <w:color w:val="000000"/>
          <w:lang w:val="en-US"/>
        </w:rPr>
        <w:t xml:space="preserve"> </w:t>
      </w:r>
      <w:proofErr w:type="spellStart"/>
      <w:r w:rsidRPr="006848C4">
        <w:rPr>
          <w:rFonts w:ascii="Century Gothic" w:eastAsia="Century Gothic" w:hAnsi="Century Gothic" w:cs="Century Gothic"/>
          <w:i/>
          <w:iCs/>
          <w:color w:val="000000"/>
          <w:lang w:val="en-US"/>
        </w:rPr>
        <w:t>Pelajar</w:t>
      </w:r>
      <w:proofErr w:type="spellEnd"/>
      <w:r w:rsidRPr="006848C4">
        <w:rPr>
          <w:rFonts w:ascii="Century Gothic" w:eastAsia="Century Gothic" w:hAnsi="Century Gothic" w:cs="Century Gothic"/>
          <w:i/>
          <w:iCs/>
          <w:color w:val="000000"/>
          <w:lang w:val="en-US"/>
        </w:rPr>
        <w:t xml:space="preserve"> Pancasila</w:t>
      </w:r>
      <w:r w:rsidRPr="006848C4">
        <w:rPr>
          <w:rFonts w:ascii="Century Gothic" w:eastAsia="Century Gothic" w:hAnsi="Century Gothic" w:cs="Century Gothic"/>
          <w:color w:val="000000"/>
          <w:lang w:val="en-US"/>
        </w:rPr>
        <w:t xml:space="preserve"> (Pancasila Student Profile), particularly the dimensions of creativity, independence, and global diversity awareness through the study of local cultural expressions. Dance extracurricular programs, in this regard, occupy a unique position: they are simultaneously expected to preserve traditional cultural knowledge and to function as a developmental space for students' physical, emotional, and social competencies. This dual mandate places particular pedagogical demands on instructors, who must balance the technical rigor required for authentic traditional dance performance with the developmental needs of adolescent learners who may have little to no prior formal dance training.</w:t>
      </w:r>
    </w:p>
    <w:p w14:paraId="2739F598" w14:textId="77777777" w:rsidR="006848C4" w:rsidRDefault="006848C4" w:rsidP="006848C4">
      <w:pPr>
        <w:pBdr>
          <w:top w:val="nil"/>
          <w:left w:val="nil"/>
          <w:bottom w:val="nil"/>
          <w:right w:val="nil"/>
          <w:between w:val="nil"/>
        </w:pBdr>
        <w:ind w:left="2268" w:firstLine="566"/>
        <w:jc w:val="both"/>
        <w:rPr>
          <w:rFonts w:ascii="Century Gothic" w:eastAsia="Century Gothic" w:hAnsi="Century Gothic" w:cs="Century Gothic"/>
          <w:color w:val="000000"/>
          <w:lang w:val="en-US"/>
        </w:rPr>
      </w:pPr>
      <w:r w:rsidRPr="006848C4">
        <w:rPr>
          <w:rFonts w:ascii="Century Gothic" w:eastAsia="Century Gothic" w:hAnsi="Century Gothic" w:cs="Century Gothic"/>
          <w:color w:val="000000"/>
          <w:lang w:val="en-US"/>
        </w:rPr>
        <w:t xml:space="preserve">Vocational secondary schools (SMK) present a particularly distinctive context for this balancing act. Unlike general senior high </w:t>
      </w:r>
      <w:r w:rsidRPr="006848C4">
        <w:rPr>
          <w:rFonts w:ascii="Century Gothic" w:eastAsia="Century Gothic" w:hAnsi="Century Gothic" w:cs="Century Gothic"/>
          <w:color w:val="000000"/>
          <w:lang w:val="en-US"/>
        </w:rPr>
        <w:lastRenderedPageBreak/>
        <w:t>schools (SMA), where extracurricular arts programs often function primarily as enrichment activities, dance extracurricular programs in SMK settings frequently carry an additional institutional expectation: representing the school in inter-school competitions, regional cultural festivals, and civic ceremonial events. This institutional visibility means that the outcomes of dance extracurricular learning in SMK settings are rarely confined to the training room; they are continuously tested and validated through public performance, making the relationship between pedagogical method and performance-readiness especially consequential in this setting.</w:t>
      </w:r>
    </w:p>
    <w:p w14:paraId="24559892" w14:textId="4134F223" w:rsidR="00206075" w:rsidRPr="00206075" w:rsidRDefault="00206075" w:rsidP="006848C4">
      <w:pPr>
        <w:pBdr>
          <w:top w:val="nil"/>
          <w:left w:val="nil"/>
          <w:bottom w:val="nil"/>
          <w:right w:val="nil"/>
          <w:between w:val="nil"/>
        </w:pBdr>
        <w:ind w:left="2268" w:firstLine="566"/>
        <w:jc w:val="both"/>
        <w:rPr>
          <w:rFonts w:ascii="Century Gothic" w:eastAsia="Century Gothic" w:hAnsi="Century Gothic" w:cs="Century Gothic"/>
          <w:color w:val="000000"/>
          <w:lang w:val="en-US"/>
        </w:rPr>
      </w:pPr>
      <w:r w:rsidRPr="00206075">
        <w:rPr>
          <w:rFonts w:ascii="Century Gothic" w:eastAsia="Century Gothic" w:hAnsi="Century Gothic" w:cs="Century Gothic"/>
          <w:color w:val="000000"/>
          <w:lang w:val="en-US"/>
        </w:rPr>
        <w:t>Traditional dance occupies a central place in Indonesia's cultural landscape, functioning not only as an aesthetic expression but also as a medium for transmitting local values, historical narratives, and community identity across generations. Amid the growing influence of globalized popular culture, school-based extracurricular programs have become one of the few remaining structured spaces in which younger generations are systematically introduced to traditional performing arts. Vocational secondary schools (SMK), in particular, increasingly position dance extracurricular activities as a vehicle for character education, creative expression, and, in some cases, a pathway toward local cultural advocacy through public performance.</w:t>
      </w:r>
    </w:p>
    <w:p w14:paraId="02CAEDC9" w14:textId="4292C14A" w:rsidR="00206075" w:rsidRDefault="00206075" w:rsidP="00206075">
      <w:pPr>
        <w:pBdr>
          <w:top w:val="nil"/>
          <w:left w:val="nil"/>
          <w:bottom w:val="nil"/>
          <w:right w:val="nil"/>
          <w:between w:val="nil"/>
        </w:pBdr>
        <w:ind w:left="2268" w:firstLine="566"/>
        <w:jc w:val="both"/>
        <w:rPr>
          <w:rFonts w:ascii="Century Gothic" w:eastAsia="Century Gothic" w:hAnsi="Century Gothic" w:cs="Century Gothic"/>
          <w:color w:val="000000"/>
          <w:lang w:val="en-US"/>
        </w:rPr>
      </w:pPr>
      <w:r w:rsidRPr="00206075">
        <w:rPr>
          <w:rFonts w:ascii="Century Gothic" w:eastAsia="Century Gothic" w:hAnsi="Century Gothic" w:cs="Century Gothic"/>
          <w:color w:val="000000"/>
          <w:lang w:val="en-US"/>
        </w:rPr>
        <w:t>Within the pedagogical practice of traditional dance instruction, the imitation method and the drill method remain two of the most widely applied teaching strategies. The imitation method is grounded in the principle of observational learning, in which students acquire new movement patterns by directly observing and reproducing a model demonstrated by the instructor. This approach is theoretically consistent with Bandura's social learning theory, which posits that a substantial portion of human behavior is learned through observation, imitation, and modeling of others' actions, particularly when the model is perceived as competent and credible (Bandura, 1977). The drill method, meanwhile, is rooted in behaviorist principles of learning through repetition and reinforcement, in which a stimulus-response pattern is consolidated through consistent practice until the desired behavior becomes automatic and accurate (Skinner, 1953). Thorndike's law of effect further supports this principle, asserting that responses followed by satisfying consequences</w:t>
      </w:r>
      <w:r w:rsidR="006848C4">
        <w:rPr>
          <w:rFonts w:ascii="Century Gothic" w:eastAsia="Century Gothic" w:hAnsi="Century Gothic" w:cs="Century Gothic"/>
          <w:color w:val="000000"/>
          <w:lang w:val="en-US"/>
        </w:rPr>
        <w:t xml:space="preserve"> </w:t>
      </w:r>
      <w:r w:rsidRPr="00206075">
        <w:rPr>
          <w:rFonts w:ascii="Century Gothic" w:eastAsia="Century Gothic" w:hAnsi="Century Gothic" w:cs="Century Gothic"/>
          <w:color w:val="000000"/>
          <w:lang w:val="en-US"/>
        </w:rPr>
        <w:t>such as a teacher's approval or visible improvement in movement quality</w:t>
      </w:r>
      <w:r w:rsidR="006848C4">
        <w:rPr>
          <w:rFonts w:ascii="Century Gothic" w:eastAsia="Century Gothic" w:hAnsi="Century Gothic" w:cs="Century Gothic"/>
          <w:color w:val="000000"/>
          <w:lang w:val="en-US"/>
        </w:rPr>
        <w:t xml:space="preserve"> </w:t>
      </w:r>
      <w:r w:rsidRPr="00206075">
        <w:rPr>
          <w:rFonts w:ascii="Century Gothic" w:eastAsia="Century Gothic" w:hAnsi="Century Gothic" w:cs="Century Gothic"/>
          <w:color w:val="000000"/>
          <w:lang w:val="en-US"/>
        </w:rPr>
        <w:t>tend to be strengthened and repeated (Thorndike, 1932). In dance pedagogy specifically, the interaction between demonstration and reproduction has been described as a form of pedagogical "resonance" between teacher and student, in which repeated demonstration-reproduction cycles gradually refine a dancer's kinesthetic understanding of a movement sequence (</w:t>
      </w:r>
      <w:proofErr w:type="spellStart"/>
      <w:r w:rsidRPr="00206075">
        <w:rPr>
          <w:rFonts w:ascii="Century Gothic" w:eastAsia="Century Gothic" w:hAnsi="Century Gothic" w:cs="Century Gothic"/>
          <w:color w:val="000000"/>
          <w:lang w:val="en-US"/>
        </w:rPr>
        <w:t>Harbonnier-Topin</w:t>
      </w:r>
      <w:proofErr w:type="spellEnd"/>
      <w:r w:rsidRPr="00206075">
        <w:rPr>
          <w:rFonts w:ascii="Century Gothic" w:eastAsia="Century Gothic" w:hAnsi="Century Gothic" w:cs="Century Gothic"/>
          <w:color w:val="000000"/>
          <w:lang w:val="en-US"/>
        </w:rPr>
        <w:t xml:space="preserve"> &amp; Barbier, 2014).</w:t>
      </w:r>
    </w:p>
    <w:p w14:paraId="3E10FC34" w14:textId="1490D6CC" w:rsidR="00206075" w:rsidRPr="00206075" w:rsidRDefault="00206075" w:rsidP="00206075">
      <w:pPr>
        <w:pBdr>
          <w:top w:val="nil"/>
          <w:left w:val="nil"/>
          <w:bottom w:val="nil"/>
          <w:right w:val="nil"/>
          <w:between w:val="nil"/>
        </w:pBdr>
        <w:ind w:left="2268" w:firstLine="566"/>
        <w:jc w:val="both"/>
        <w:rPr>
          <w:rFonts w:ascii="Century Gothic" w:eastAsia="Century Gothic" w:hAnsi="Century Gothic" w:cs="Century Gothic"/>
          <w:color w:val="000000"/>
          <w:lang w:val="en-US"/>
        </w:rPr>
      </w:pPr>
      <w:r w:rsidRPr="00206075">
        <w:rPr>
          <w:rFonts w:ascii="Century Gothic" w:eastAsia="Century Gothic" w:hAnsi="Century Gothic" w:cs="Century Gothic"/>
          <w:color w:val="000000"/>
          <w:lang w:val="en-US"/>
        </w:rPr>
        <w:t xml:space="preserve">Recent studies in traditional and creative dance education continue to affirm the relevance of imitation and drill as complementary methods rather than competing approaches. A 2025 study on the reconstruction of the </w:t>
      </w:r>
      <w:proofErr w:type="spellStart"/>
      <w:r w:rsidRPr="00206075">
        <w:rPr>
          <w:rFonts w:ascii="Century Gothic" w:eastAsia="Century Gothic" w:hAnsi="Century Gothic" w:cs="Century Gothic"/>
          <w:color w:val="000000"/>
          <w:lang w:val="en-US"/>
        </w:rPr>
        <w:t>Feto</w:t>
      </w:r>
      <w:proofErr w:type="spellEnd"/>
      <w:r w:rsidRPr="00206075">
        <w:rPr>
          <w:rFonts w:ascii="Century Gothic" w:eastAsia="Century Gothic" w:hAnsi="Century Gothic" w:cs="Century Gothic"/>
          <w:color w:val="000000"/>
          <w:lang w:val="en-US"/>
        </w:rPr>
        <w:t xml:space="preserve"> Hitu dance found that the drill method significantly improved movement precision, tempo accuracy, and inter-dancer synchronization, while the imitation method more effectively supported dancers' initial understanding of movement design (</w:t>
      </w:r>
      <w:proofErr w:type="spellStart"/>
      <w:r w:rsidRPr="00206075">
        <w:rPr>
          <w:rFonts w:ascii="Century Gothic" w:eastAsia="Century Gothic" w:hAnsi="Century Gothic" w:cs="Century Gothic"/>
          <w:color w:val="000000"/>
          <w:lang w:val="en-US"/>
        </w:rPr>
        <w:t>Hariswari</w:t>
      </w:r>
      <w:proofErr w:type="spellEnd"/>
      <w:r w:rsidRPr="00206075">
        <w:rPr>
          <w:rFonts w:ascii="Century Gothic" w:eastAsia="Century Gothic" w:hAnsi="Century Gothic" w:cs="Century Gothic"/>
          <w:color w:val="000000"/>
          <w:lang w:val="en-US"/>
        </w:rPr>
        <w:t xml:space="preserve"> &amp; Sape, 2025). Similarly, research on traditional dance instruction for students with hearing impairment demonstrated that a combination of imitative, informative, and drill methods</w:t>
      </w:r>
      <w:r w:rsidR="006848C4">
        <w:rPr>
          <w:rFonts w:ascii="Century Gothic" w:eastAsia="Century Gothic" w:hAnsi="Century Gothic" w:cs="Century Gothic"/>
          <w:color w:val="000000"/>
          <w:lang w:val="en-US"/>
        </w:rPr>
        <w:t xml:space="preserve"> </w:t>
      </w:r>
      <w:r w:rsidRPr="00206075">
        <w:rPr>
          <w:rFonts w:ascii="Century Gothic" w:eastAsia="Century Gothic" w:hAnsi="Century Gothic" w:cs="Century Gothic"/>
          <w:color w:val="000000"/>
          <w:lang w:val="en-US"/>
        </w:rPr>
        <w:lastRenderedPageBreak/>
        <w:t>supported by visual and gestural cues</w:t>
      </w:r>
      <w:r w:rsidR="006848C4">
        <w:rPr>
          <w:rFonts w:ascii="Century Gothic" w:eastAsia="Century Gothic" w:hAnsi="Century Gothic" w:cs="Century Gothic"/>
          <w:color w:val="000000"/>
          <w:lang w:val="en-US"/>
        </w:rPr>
        <w:t xml:space="preserve"> </w:t>
      </w:r>
      <w:r w:rsidRPr="00206075">
        <w:rPr>
          <w:rFonts w:ascii="Century Gothic" w:eastAsia="Century Gothic" w:hAnsi="Century Gothic" w:cs="Century Gothic"/>
          <w:color w:val="000000"/>
          <w:lang w:val="en-US"/>
        </w:rPr>
        <w:t>enabled effective transmission of complex movement sequences even in the absence of verbal-auditory communication (</w:t>
      </w:r>
      <w:proofErr w:type="spellStart"/>
      <w:r w:rsidRPr="00206075">
        <w:rPr>
          <w:rFonts w:ascii="Century Gothic" w:eastAsia="Century Gothic" w:hAnsi="Century Gothic" w:cs="Century Gothic"/>
          <w:color w:val="000000"/>
          <w:lang w:val="en-US"/>
        </w:rPr>
        <w:t>Rusyanti</w:t>
      </w:r>
      <w:proofErr w:type="spellEnd"/>
      <w:r w:rsidRPr="00206075">
        <w:rPr>
          <w:rFonts w:ascii="Century Gothic" w:eastAsia="Century Gothic" w:hAnsi="Century Gothic" w:cs="Century Gothic"/>
          <w:color w:val="000000"/>
          <w:lang w:val="en-US"/>
        </w:rPr>
        <w:t xml:space="preserve"> et al., 2020). These findings reinforce the notion that imitation and drill are not merely mechanical teaching techniques but adaptable pedagogical strategies capable of accommodating diverse learner conditions.</w:t>
      </w:r>
    </w:p>
    <w:p w14:paraId="2CA83BF9" w14:textId="77777777" w:rsidR="00206075" w:rsidRPr="00206075" w:rsidRDefault="00206075" w:rsidP="00206075">
      <w:pPr>
        <w:pBdr>
          <w:top w:val="nil"/>
          <w:left w:val="nil"/>
          <w:bottom w:val="nil"/>
          <w:right w:val="nil"/>
          <w:between w:val="nil"/>
        </w:pBdr>
        <w:ind w:left="2268" w:firstLine="566"/>
        <w:jc w:val="both"/>
        <w:rPr>
          <w:rFonts w:ascii="Century Gothic" w:eastAsia="Century Gothic" w:hAnsi="Century Gothic" w:cs="Century Gothic"/>
          <w:color w:val="000000"/>
          <w:lang w:val="en-US"/>
        </w:rPr>
      </w:pPr>
      <w:r w:rsidRPr="00206075">
        <w:rPr>
          <w:rFonts w:ascii="Century Gothic" w:eastAsia="Century Gothic" w:hAnsi="Century Gothic" w:cs="Century Gothic"/>
          <w:color w:val="000000"/>
          <w:lang w:val="en-US"/>
        </w:rPr>
        <w:t xml:space="preserve">Beyond technical mastery, however, traditional dance learning is widely understood to encompass more than motor skill acquisition. Javanese aesthetic philosophy commonly distinguishes between </w:t>
      </w:r>
      <w:proofErr w:type="spellStart"/>
      <w:r w:rsidRPr="00206075">
        <w:rPr>
          <w:rFonts w:ascii="Century Gothic" w:eastAsia="Century Gothic" w:hAnsi="Century Gothic" w:cs="Century Gothic"/>
          <w:i/>
          <w:iCs/>
          <w:color w:val="000000"/>
          <w:lang w:val="en-US"/>
        </w:rPr>
        <w:t>wiraga</w:t>
      </w:r>
      <w:proofErr w:type="spellEnd"/>
      <w:r w:rsidRPr="00206075">
        <w:rPr>
          <w:rFonts w:ascii="Century Gothic" w:eastAsia="Century Gothic" w:hAnsi="Century Gothic" w:cs="Century Gothic"/>
          <w:color w:val="000000"/>
          <w:lang w:val="en-US"/>
        </w:rPr>
        <w:t xml:space="preserve"> (physical/technical mastery of movement), </w:t>
      </w:r>
      <w:proofErr w:type="spellStart"/>
      <w:r w:rsidRPr="00206075">
        <w:rPr>
          <w:rFonts w:ascii="Century Gothic" w:eastAsia="Century Gothic" w:hAnsi="Century Gothic" w:cs="Century Gothic"/>
          <w:i/>
          <w:iCs/>
          <w:color w:val="000000"/>
          <w:lang w:val="en-US"/>
        </w:rPr>
        <w:t>wirama</w:t>
      </w:r>
      <w:proofErr w:type="spellEnd"/>
      <w:r w:rsidRPr="00206075">
        <w:rPr>
          <w:rFonts w:ascii="Century Gothic" w:eastAsia="Century Gothic" w:hAnsi="Century Gothic" w:cs="Century Gothic"/>
          <w:color w:val="000000"/>
          <w:lang w:val="en-US"/>
        </w:rPr>
        <w:t xml:space="preserve"> (rhythmic and musical sensitivity), and </w:t>
      </w:r>
      <w:proofErr w:type="spellStart"/>
      <w:r w:rsidRPr="00206075">
        <w:rPr>
          <w:rFonts w:ascii="Century Gothic" w:eastAsia="Century Gothic" w:hAnsi="Century Gothic" w:cs="Century Gothic"/>
          <w:i/>
          <w:iCs/>
          <w:color w:val="000000"/>
          <w:lang w:val="en-US"/>
        </w:rPr>
        <w:t>wirasa</w:t>
      </w:r>
      <w:proofErr w:type="spellEnd"/>
      <w:r w:rsidRPr="00206075">
        <w:rPr>
          <w:rFonts w:ascii="Century Gothic" w:eastAsia="Century Gothic" w:hAnsi="Century Gothic" w:cs="Century Gothic"/>
          <w:color w:val="000000"/>
          <w:lang w:val="en-US"/>
        </w:rPr>
        <w:t xml:space="preserve"> (emotional and spiritual expressiveness). A dancer's competence is therefore not fully realized through technical accuracy alone, but through the capacity to internalize and convey the meaning embedded within a dance narrative. This dimension becomes particularly significant when a dance is built upon a specific cultural or historical narrative, as is the case with </w:t>
      </w:r>
      <w:proofErr w:type="spellStart"/>
      <w:r w:rsidRPr="00206075">
        <w:rPr>
          <w:rFonts w:ascii="Century Gothic" w:eastAsia="Century Gothic" w:hAnsi="Century Gothic" w:cs="Century Gothic"/>
          <w:i/>
          <w:iCs/>
          <w:color w:val="000000"/>
          <w:lang w:val="en-US"/>
        </w:rPr>
        <w:t>Wanci</w:t>
      </w:r>
      <w:proofErr w:type="spellEnd"/>
      <w:r w:rsidRPr="00206075">
        <w:rPr>
          <w:rFonts w:ascii="Century Gothic" w:eastAsia="Century Gothic" w:hAnsi="Century Gothic" w:cs="Century Gothic"/>
          <w:i/>
          <w:iCs/>
          <w:color w:val="000000"/>
          <w:lang w:val="en-US"/>
        </w:rPr>
        <w:t xml:space="preserve"> Kahuripan</w:t>
      </w:r>
      <w:r w:rsidRPr="00206075">
        <w:rPr>
          <w:rFonts w:ascii="Century Gothic" w:eastAsia="Century Gothic" w:hAnsi="Century Gothic" w:cs="Century Gothic"/>
          <w:color w:val="000000"/>
          <w:lang w:val="en-US"/>
        </w:rPr>
        <w:t>, a dance developed around the story of Mbah Semi, a figure regarded as instrumental to the continuity of traditional dance in the Banyuwangi region. The values of perseverance, resilience, and unwavering determination attributed to this figure are intended to be reflected not only in the choreography itself but also in the character formation of the students who learn it.</w:t>
      </w:r>
    </w:p>
    <w:p w14:paraId="4D118B36" w14:textId="3BC06370" w:rsidR="00206075" w:rsidRDefault="00206075" w:rsidP="00206075">
      <w:pPr>
        <w:pBdr>
          <w:top w:val="nil"/>
          <w:left w:val="nil"/>
          <w:bottom w:val="nil"/>
          <w:right w:val="nil"/>
          <w:between w:val="nil"/>
        </w:pBdr>
        <w:ind w:left="2268" w:firstLine="566"/>
        <w:jc w:val="both"/>
        <w:rPr>
          <w:rFonts w:ascii="Century Gothic" w:eastAsia="Century Gothic" w:hAnsi="Century Gothic" w:cs="Century Gothic"/>
          <w:color w:val="000000"/>
          <w:lang w:val="en-US"/>
        </w:rPr>
      </w:pPr>
      <w:r w:rsidRPr="00206075">
        <w:rPr>
          <w:rFonts w:ascii="Century Gothic" w:eastAsia="Century Gothic" w:hAnsi="Century Gothic" w:cs="Century Gothic"/>
          <w:color w:val="000000"/>
          <w:lang w:val="en-US"/>
        </w:rPr>
        <w:t>Despite the substantial body of research examining dance extracurricular activities in general education contexts</w:t>
      </w:r>
      <w:r w:rsidR="006848C4">
        <w:rPr>
          <w:rFonts w:ascii="Century Gothic" w:eastAsia="Century Gothic" w:hAnsi="Century Gothic" w:cs="Century Gothic"/>
          <w:color w:val="000000"/>
          <w:lang w:val="en-US"/>
        </w:rPr>
        <w:t xml:space="preserve"> </w:t>
      </w:r>
      <w:r w:rsidRPr="00206075">
        <w:rPr>
          <w:rFonts w:ascii="Century Gothic" w:eastAsia="Century Gothic" w:hAnsi="Century Gothic" w:cs="Century Gothic"/>
          <w:color w:val="000000"/>
          <w:lang w:val="en-US"/>
        </w:rPr>
        <w:t>ranging from the development of movement creativity (</w:t>
      </w:r>
      <w:proofErr w:type="spellStart"/>
      <w:r w:rsidRPr="00206075">
        <w:rPr>
          <w:rFonts w:ascii="Century Gothic" w:eastAsia="Century Gothic" w:hAnsi="Century Gothic" w:cs="Century Gothic"/>
          <w:color w:val="000000"/>
          <w:lang w:val="en-US"/>
        </w:rPr>
        <w:t>Priskila</w:t>
      </w:r>
      <w:proofErr w:type="spellEnd"/>
      <w:r w:rsidRPr="00206075">
        <w:rPr>
          <w:rFonts w:ascii="Century Gothic" w:eastAsia="Century Gothic" w:hAnsi="Century Gothic" w:cs="Century Gothic"/>
          <w:color w:val="000000"/>
          <w:lang w:val="en-US"/>
        </w:rPr>
        <w:t>, 2026) to visuomotor skill enhancement among lower-grade elementary students (2026</w:t>
      </w:r>
      <w:r w:rsidR="006848C4">
        <w:rPr>
          <w:rFonts w:ascii="Century Gothic" w:eastAsia="Century Gothic" w:hAnsi="Century Gothic" w:cs="Century Gothic"/>
          <w:color w:val="000000"/>
          <w:lang w:val="en-US"/>
        </w:rPr>
        <w:t xml:space="preserve">) </w:t>
      </w:r>
      <w:r w:rsidRPr="00206075">
        <w:rPr>
          <w:rFonts w:ascii="Century Gothic" w:eastAsia="Century Gothic" w:hAnsi="Century Gothic" w:cs="Century Gothic"/>
          <w:color w:val="000000"/>
          <w:lang w:val="en-US"/>
        </w:rPr>
        <w:t>relatively limited attention has been paid to how imitation and drill methods function specifically within vocational secondary school settings, where extracurricular dance programs often carry an additional mandate of representing the school and local community in public cultural events. Moreover, few studies have examined how the evaluative and personalized dimensions of an instructor's teaching approach interact with these two methods to shape both technical outcomes and students' psychological readiness to perform.</w:t>
      </w:r>
    </w:p>
    <w:p w14:paraId="327E12A1" w14:textId="77777777" w:rsidR="006848C4" w:rsidRPr="006848C4" w:rsidRDefault="006848C4" w:rsidP="006848C4">
      <w:pPr>
        <w:pBdr>
          <w:top w:val="nil"/>
          <w:left w:val="nil"/>
          <w:bottom w:val="nil"/>
          <w:right w:val="nil"/>
          <w:between w:val="nil"/>
        </w:pBdr>
        <w:ind w:left="2268" w:firstLine="566"/>
        <w:jc w:val="both"/>
        <w:rPr>
          <w:rFonts w:ascii="Century Gothic" w:eastAsia="Century Gothic" w:hAnsi="Century Gothic" w:cs="Century Gothic"/>
          <w:color w:val="000000"/>
          <w:lang w:val="en-US"/>
        </w:rPr>
      </w:pPr>
      <w:r w:rsidRPr="006848C4">
        <w:rPr>
          <w:rFonts w:ascii="Century Gothic" w:eastAsia="Century Gothic" w:hAnsi="Century Gothic" w:cs="Century Gothic"/>
          <w:color w:val="000000"/>
          <w:lang w:val="en-US"/>
        </w:rPr>
        <w:t>Beyond technical and creative development, a growing body of research has also examined the psychosocial benefits of sustained participation in performing arts extracurricular activities. Studies on adolescent involvement in extracurricular activities consistently report a positive association between participation and self-concept, with students engaged in performance-based activities such as dance, theatre, and music demonstrating measurably higher levels of self-worth and confidence compared to peers with limited extracurricular involvement (Blomfield &amp; Barber, 2009). This pattern is further reinforced by evidence that extracurricular participation provides adolescents with structured opportunities to discover personal strengths, receive constructive feedback, and gradually build the kind of self-assurance that is difficult to cultivate within the constraints of regular classroom instruction alone (Fredricks &amp; Eccles, 2008). In the specific context of performing arts, participation has additionally been linked to enhanced psychological wellbeing, as the process of rehearsing, refining, and ultimately presenting a performance before an audience requires students to repeatedly confront and manage performance-related anxiety in a supported environment (Kausar &amp; Ahmad, 2021).</w:t>
      </w:r>
    </w:p>
    <w:p w14:paraId="299D7CFC" w14:textId="77777777" w:rsidR="006848C4" w:rsidRDefault="006848C4" w:rsidP="006848C4">
      <w:pPr>
        <w:pBdr>
          <w:top w:val="nil"/>
          <w:left w:val="nil"/>
          <w:bottom w:val="nil"/>
          <w:right w:val="nil"/>
          <w:between w:val="nil"/>
        </w:pBdr>
        <w:ind w:left="2268" w:firstLine="566"/>
        <w:jc w:val="both"/>
        <w:rPr>
          <w:rFonts w:ascii="Century Gothic" w:eastAsia="Century Gothic" w:hAnsi="Century Gothic" w:cs="Century Gothic"/>
          <w:color w:val="000000"/>
          <w:lang w:val="en-US"/>
        </w:rPr>
      </w:pPr>
      <w:r w:rsidRPr="006848C4">
        <w:rPr>
          <w:rFonts w:ascii="Century Gothic" w:eastAsia="Century Gothic" w:hAnsi="Century Gothic" w:cs="Century Gothic"/>
          <w:color w:val="000000"/>
          <w:lang w:val="en-US"/>
        </w:rPr>
        <w:t xml:space="preserve">These findings are particularly relevant to the present study, given that the </w:t>
      </w:r>
      <w:proofErr w:type="spellStart"/>
      <w:r w:rsidRPr="006848C4">
        <w:rPr>
          <w:rFonts w:ascii="Century Gothic" w:eastAsia="Century Gothic" w:hAnsi="Century Gothic" w:cs="Century Gothic"/>
          <w:i/>
          <w:iCs/>
          <w:color w:val="000000"/>
          <w:lang w:val="en-US"/>
        </w:rPr>
        <w:t>Wanci</w:t>
      </w:r>
      <w:proofErr w:type="spellEnd"/>
      <w:r w:rsidRPr="006848C4">
        <w:rPr>
          <w:rFonts w:ascii="Century Gothic" w:eastAsia="Century Gothic" w:hAnsi="Century Gothic" w:cs="Century Gothic"/>
          <w:i/>
          <w:iCs/>
          <w:color w:val="000000"/>
          <w:lang w:val="en-US"/>
        </w:rPr>
        <w:t xml:space="preserve"> </w:t>
      </w:r>
      <w:proofErr w:type="spellStart"/>
      <w:r w:rsidRPr="006848C4">
        <w:rPr>
          <w:rFonts w:ascii="Century Gothic" w:eastAsia="Century Gothic" w:hAnsi="Century Gothic" w:cs="Century Gothic"/>
          <w:i/>
          <w:iCs/>
          <w:color w:val="000000"/>
          <w:lang w:val="en-US"/>
        </w:rPr>
        <w:t>Kahuripan</w:t>
      </w:r>
      <w:proofErr w:type="spellEnd"/>
      <w:r w:rsidRPr="006848C4">
        <w:rPr>
          <w:rFonts w:ascii="Century Gothic" w:eastAsia="Century Gothic" w:hAnsi="Century Gothic" w:cs="Century Gothic"/>
          <w:color w:val="000000"/>
          <w:lang w:val="en-US"/>
        </w:rPr>
        <w:t xml:space="preserve"> dance learning process culminates </w:t>
      </w:r>
      <w:r w:rsidRPr="006848C4">
        <w:rPr>
          <w:rFonts w:ascii="Century Gothic" w:eastAsia="Century Gothic" w:hAnsi="Century Gothic" w:cs="Century Gothic"/>
          <w:color w:val="000000"/>
          <w:lang w:val="en-US"/>
        </w:rPr>
        <w:lastRenderedPageBreak/>
        <w:t>not merely in classroom-based mastery but in public performance at community and institutional events. This suggests that the confidence-building function frequently attributed to extracurricular arts participation in the broader psychological literature may manifest concretely within the specific pedagogical structure of imitation and drill methods, an intersection that remains underexplored in existing traditional dance research.</w:t>
      </w:r>
    </w:p>
    <w:p w14:paraId="42F63440" w14:textId="2463B32E" w:rsidR="009828BB" w:rsidRDefault="009828BB" w:rsidP="006848C4">
      <w:pPr>
        <w:pBdr>
          <w:top w:val="nil"/>
          <w:left w:val="nil"/>
          <w:bottom w:val="nil"/>
          <w:right w:val="nil"/>
          <w:between w:val="nil"/>
        </w:pBdr>
        <w:ind w:left="2268" w:firstLine="566"/>
        <w:jc w:val="both"/>
        <w:rPr>
          <w:rFonts w:ascii="Century Gothic" w:eastAsia="Century Gothic" w:hAnsi="Century Gothic" w:cs="Century Gothic"/>
          <w:color w:val="000000"/>
        </w:rPr>
      </w:pPr>
      <w:r w:rsidRPr="009828BB">
        <w:rPr>
          <w:rFonts w:ascii="Century Gothic" w:eastAsia="Century Gothic" w:hAnsi="Century Gothic" w:cs="Century Gothic"/>
          <w:color w:val="000000"/>
        </w:rPr>
        <w:t>Beyond its contribution to psychomotor development, dance pedagogy has increasingly been recognized as an educational medium that integrates cognitive, affective, and social learning. Unlike many classroom-based instructional activities, traditional dance requires students to coordinate bodily movement, emotional expression, musical sensitivity, and interpersonal collaboration simultaneously. Consequently, the effectiveness of instructional methods in dance education should not be evaluated solely in terms of technical achievement, but also in relation to students' confidence, motivation, and capacity to engage meaningfully with cultural values. This broader educational perspective provides an important foundation for examining how imitation and drill methods function within extracurricular traditional dance learning.</w:t>
      </w:r>
    </w:p>
    <w:p w14:paraId="2B2CBB95" w14:textId="65A2E447" w:rsidR="009828BB" w:rsidRPr="006848C4" w:rsidRDefault="009828BB" w:rsidP="006848C4">
      <w:pPr>
        <w:pBdr>
          <w:top w:val="nil"/>
          <w:left w:val="nil"/>
          <w:bottom w:val="nil"/>
          <w:right w:val="nil"/>
          <w:between w:val="nil"/>
        </w:pBdr>
        <w:ind w:left="2268" w:firstLine="566"/>
        <w:jc w:val="both"/>
        <w:rPr>
          <w:rFonts w:ascii="Century Gothic" w:eastAsia="Century Gothic" w:hAnsi="Century Gothic" w:cs="Century Gothic"/>
          <w:color w:val="000000"/>
          <w:lang w:val="en-US"/>
        </w:rPr>
      </w:pPr>
      <w:r w:rsidRPr="009828BB">
        <w:rPr>
          <w:rFonts w:ascii="Century Gothic" w:eastAsia="Century Gothic" w:hAnsi="Century Gothic" w:cs="Century Gothic"/>
          <w:color w:val="000000"/>
        </w:rPr>
        <w:t>Furthermore, this study contributes to the broader discussion of arts education by demonstrating that behaviorist-oriented instructional methods remain relevant when integrated with relational and culturally responsive teaching practices. Rather than functioning as isolated technical exercises, imitation and drill are shown to operate within a holistic learning environment in which students simultaneously develop artistic competence, cultural awareness, and personal confidence.</w:t>
      </w:r>
    </w:p>
    <w:p w14:paraId="35166298" w14:textId="1029D6DA" w:rsidR="00206075" w:rsidRPr="00206075" w:rsidRDefault="00206075" w:rsidP="00206075">
      <w:pPr>
        <w:pBdr>
          <w:top w:val="nil"/>
          <w:left w:val="nil"/>
          <w:bottom w:val="nil"/>
          <w:right w:val="nil"/>
          <w:between w:val="nil"/>
        </w:pBdr>
        <w:ind w:left="2268" w:firstLine="566"/>
        <w:jc w:val="both"/>
        <w:rPr>
          <w:rFonts w:ascii="Century Gothic" w:eastAsia="Century Gothic" w:hAnsi="Century Gothic" w:cs="Century Gothic"/>
          <w:color w:val="000000"/>
          <w:lang w:val="en-US"/>
        </w:rPr>
      </w:pPr>
      <w:r w:rsidRPr="00206075">
        <w:rPr>
          <w:rFonts w:ascii="Century Gothic" w:eastAsia="Century Gothic" w:hAnsi="Century Gothic" w:cs="Century Gothic"/>
          <w:color w:val="000000"/>
          <w:lang w:val="en-US"/>
        </w:rPr>
        <w:t xml:space="preserve">This study addresses this gap by examining the implementation of imitation and drill methods in the learning of </w:t>
      </w:r>
      <w:proofErr w:type="spellStart"/>
      <w:r w:rsidRPr="00206075">
        <w:rPr>
          <w:rFonts w:ascii="Century Gothic" w:eastAsia="Century Gothic" w:hAnsi="Century Gothic" w:cs="Century Gothic"/>
          <w:i/>
          <w:iCs/>
          <w:color w:val="000000"/>
          <w:lang w:val="en-US"/>
        </w:rPr>
        <w:t>Wanci</w:t>
      </w:r>
      <w:proofErr w:type="spellEnd"/>
      <w:r w:rsidRPr="00206075">
        <w:rPr>
          <w:rFonts w:ascii="Century Gothic" w:eastAsia="Century Gothic" w:hAnsi="Century Gothic" w:cs="Century Gothic"/>
          <w:i/>
          <w:iCs/>
          <w:color w:val="000000"/>
          <w:lang w:val="en-US"/>
        </w:rPr>
        <w:t xml:space="preserve"> </w:t>
      </w:r>
      <w:proofErr w:type="spellStart"/>
      <w:r w:rsidRPr="00206075">
        <w:rPr>
          <w:rFonts w:ascii="Century Gothic" w:eastAsia="Century Gothic" w:hAnsi="Century Gothic" w:cs="Century Gothic"/>
          <w:i/>
          <w:iCs/>
          <w:color w:val="000000"/>
          <w:lang w:val="en-US"/>
        </w:rPr>
        <w:t>Kahuripan</w:t>
      </w:r>
      <w:proofErr w:type="spellEnd"/>
      <w:r w:rsidRPr="00206075">
        <w:rPr>
          <w:rFonts w:ascii="Century Gothic" w:eastAsia="Century Gothic" w:hAnsi="Century Gothic" w:cs="Century Gothic"/>
          <w:color w:val="000000"/>
          <w:lang w:val="en-US"/>
        </w:rPr>
        <w:t xml:space="preserve"> dance within the Sekar Arum dance extracurricular program at SMKN 1 </w:t>
      </w:r>
      <w:proofErr w:type="spellStart"/>
      <w:r w:rsidRPr="00206075">
        <w:rPr>
          <w:rFonts w:ascii="Century Gothic" w:eastAsia="Century Gothic" w:hAnsi="Century Gothic" w:cs="Century Gothic"/>
          <w:color w:val="000000"/>
          <w:lang w:val="en-US"/>
        </w:rPr>
        <w:t>Jetis</w:t>
      </w:r>
      <w:proofErr w:type="spellEnd"/>
      <w:r w:rsidRPr="00206075">
        <w:rPr>
          <w:rFonts w:ascii="Century Gothic" w:eastAsia="Century Gothic" w:hAnsi="Century Gothic" w:cs="Century Gothic"/>
          <w:color w:val="000000"/>
          <w:lang w:val="en-US"/>
        </w:rPr>
        <w:t xml:space="preserve"> Mojokerto. Specifically, this research aims to: (1) describe the evaluation process applied during the learning of </w:t>
      </w:r>
      <w:proofErr w:type="spellStart"/>
      <w:r w:rsidRPr="00206075">
        <w:rPr>
          <w:rFonts w:ascii="Century Gothic" w:eastAsia="Century Gothic" w:hAnsi="Century Gothic" w:cs="Century Gothic"/>
          <w:i/>
          <w:iCs/>
          <w:color w:val="000000"/>
          <w:lang w:val="en-US"/>
        </w:rPr>
        <w:t>Wanci</w:t>
      </w:r>
      <w:proofErr w:type="spellEnd"/>
      <w:r w:rsidRPr="00206075">
        <w:rPr>
          <w:rFonts w:ascii="Century Gothic" w:eastAsia="Century Gothic" w:hAnsi="Century Gothic" w:cs="Century Gothic"/>
          <w:i/>
          <w:iCs/>
          <w:color w:val="000000"/>
          <w:lang w:val="en-US"/>
        </w:rPr>
        <w:t xml:space="preserve"> </w:t>
      </w:r>
      <w:proofErr w:type="spellStart"/>
      <w:r w:rsidRPr="00206075">
        <w:rPr>
          <w:rFonts w:ascii="Century Gothic" w:eastAsia="Century Gothic" w:hAnsi="Century Gothic" w:cs="Century Gothic"/>
          <w:i/>
          <w:iCs/>
          <w:color w:val="000000"/>
          <w:lang w:val="en-US"/>
        </w:rPr>
        <w:t>Kahuripan</w:t>
      </w:r>
      <w:proofErr w:type="spellEnd"/>
      <w:r w:rsidRPr="00206075">
        <w:rPr>
          <w:rFonts w:ascii="Century Gothic" w:eastAsia="Century Gothic" w:hAnsi="Century Gothic" w:cs="Century Gothic"/>
          <w:color w:val="000000"/>
          <w:lang w:val="en-US"/>
        </w:rPr>
        <w:t xml:space="preserve"> dance; (2) analyze the learning outcomes resulting from the application of imitation and drill methods; and (3) examine how these outcomes are reflected in students' technical competence, self-confidence, and participation in performances beyond the school environment. The novelty of this study lies in its focus on a relatively young extracurricular program</w:t>
      </w:r>
      <w:r w:rsidR="006848C4">
        <w:rPr>
          <w:rFonts w:ascii="Century Gothic" w:eastAsia="Century Gothic" w:hAnsi="Century Gothic" w:cs="Century Gothic"/>
          <w:color w:val="000000"/>
          <w:lang w:val="en-US"/>
        </w:rPr>
        <w:t xml:space="preserve"> </w:t>
      </w:r>
      <w:r w:rsidRPr="00206075">
        <w:rPr>
          <w:rFonts w:ascii="Century Gothic" w:eastAsia="Century Gothic" w:hAnsi="Century Gothic" w:cs="Century Gothic"/>
          <w:color w:val="000000"/>
          <w:lang w:val="en-US"/>
        </w:rPr>
        <w:t>established approximately four years prior to this research</w:t>
      </w:r>
      <w:r w:rsidR="006848C4">
        <w:rPr>
          <w:rFonts w:ascii="Century Gothic" w:eastAsia="Century Gothic" w:hAnsi="Century Gothic" w:cs="Century Gothic"/>
          <w:color w:val="000000"/>
          <w:lang w:val="en-US"/>
        </w:rPr>
        <w:t xml:space="preserve"> </w:t>
      </w:r>
      <w:r w:rsidRPr="00206075">
        <w:rPr>
          <w:rFonts w:ascii="Century Gothic" w:eastAsia="Century Gothic" w:hAnsi="Century Gothic" w:cs="Century Gothic"/>
          <w:color w:val="000000"/>
          <w:lang w:val="en-US"/>
        </w:rPr>
        <w:t>and its attention to the personalized pedagogical approach adopted by the instructor as a distinguishing feature relative to other school-based dance programs in the surrounding region.</w:t>
      </w:r>
    </w:p>
    <w:p w14:paraId="3BFEBC7E" w14:textId="77777777" w:rsidR="00206075" w:rsidRPr="00206075" w:rsidRDefault="00206075">
      <w:pPr>
        <w:pBdr>
          <w:top w:val="nil"/>
          <w:left w:val="nil"/>
          <w:bottom w:val="nil"/>
          <w:right w:val="nil"/>
          <w:between w:val="nil"/>
        </w:pBdr>
        <w:ind w:left="2268" w:firstLine="566"/>
        <w:jc w:val="both"/>
        <w:rPr>
          <w:rFonts w:ascii="Century Gothic" w:eastAsia="Century Gothic" w:hAnsi="Century Gothic" w:cs="Century Gothic"/>
          <w:color w:val="000000"/>
          <w:lang w:val="en-US"/>
        </w:rPr>
      </w:pPr>
    </w:p>
    <w:p w14:paraId="79EA6884" w14:textId="77777777" w:rsidR="00627A8F" w:rsidRDefault="00627A8F">
      <w:pPr>
        <w:pBdr>
          <w:top w:val="nil"/>
          <w:left w:val="nil"/>
          <w:bottom w:val="nil"/>
          <w:right w:val="nil"/>
          <w:between w:val="nil"/>
        </w:pBdr>
        <w:ind w:left="2268" w:firstLine="566"/>
        <w:jc w:val="both"/>
        <w:rPr>
          <w:rFonts w:ascii="Century Gothic" w:eastAsia="Century Gothic" w:hAnsi="Century Gothic" w:cs="Century Gothic"/>
          <w:color w:val="000000"/>
        </w:rPr>
      </w:pPr>
    </w:p>
    <w:p w14:paraId="30B87B07" w14:textId="77777777" w:rsidR="00627A8F" w:rsidRDefault="00000000">
      <w:pPr>
        <w:pStyle w:val="Heading1"/>
        <w:spacing w:before="120" w:after="120"/>
        <w:ind w:firstLine="0"/>
        <w:rPr>
          <w:rFonts w:ascii="Century Gothic" w:eastAsia="Century Gothic" w:hAnsi="Century Gothic" w:cs="Century Gothic"/>
          <w:sz w:val="20"/>
          <w:szCs w:val="20"/>
        </w:rPr>
      </w:pPr>
      <w:r>
        <w:rPr>
          <w:rFonts w:ascii="Century Gothic" w:eastAsia="Century Gothic" w:hAnsi="Century Gothic" w:cs="Century Gothic"/>
          <w:sz w:val="20"/>
          <w:szCs w:val="20"/>
        </w:rPr>
        <w:t>2. METHODS</w:t>
      </w:r>
    </w:p>
    <w:p w14:paraId="16844902" w14:textId="77777777" w:rsidR="00206075" w:rsidRPr="00206075" w:rsidRDefault="00206075" w:rsidP="00206075">
      <w:pPr>
        <w:pBdr>
          <w:top w:val="nil"/>
          <w:left w:val="nil"/>
          <w:bottom w:val="nil"/>
          <w:right w:val="nil"/>
          <w:between w:val="nil"/>
        </w:pBdr>
        <w:ind w:left="2268" w:firstLine="566"/>
        <w:jc w:val="both"/>
        <w:rPr>
          <w:rFonts w:ascii="Century Gothic" w:eastAsia="Century Gothic" w:hAnsi="Century Gothic" w:cs="Century Gothic"/>
          <w:color w:val="000000"/>
          <w:lang w:val="en-US"/>
        </w:rPr>
      </w:pPr>
      <w:r w:rsidRPr="00206075">
        <w:rPr>
          <w:rFonts w:ascii="Century Gothic" w:eastAsia="Century Gothic" w:hAnsi="Century Gothic" w:cs="Century Gothic"/>
          <w:color w:val="000000"/>
          <w:lang w:val="en-US"/>
        </w:rPr>
        <w:t xml:space="preserve">This study employed a qualitative descriptive method with a case study approach, chosen for its suitability in providing an in-depth, contextualized understanding of a specific instructional phenomenon within its natural setting (Creswell &amp; Creswell, 2018). The research was conducted within the Sekar Arum dance extracurricular program at SMKN 1 </w:t>
      </w:r>
      <w:proofErr w:type="spellStart"/>
      <w:r w:rsidRPr="00206075">
        <w:rPr>
          <w:rFonts w:ascii="Century Gothic" w:eastAsia="Century Gothic" w:hAnsi="Century Gothic" w:cs="Century Gothic"/>
          <w:color w:val="000000"/>
          <w:lang w:val="en-US"/>
        </w:rPr>
        <w:t>Jetis</w:t>
      </w:r>
      <w:proofErr w:type="spellEnd"/>
      <w:r w:rsidRPr="00206075">
        <w:rPr>
          <w:rFonts w:ascii="Century Gothic" w:eastAsia="Century Gothic" w:hAnsi="Century Gothic" w:cs="Century Gothic"/>
          <w:color w:val="000000"/>
          <w:lang w:val="en-US"/>
        </w:rPr>
        <w:t xml:space="preserve"> Mojokerto, focusing on the learning process of the </w:t>
      </w:r>
      <w:proofErr w:type="spellStart"/>
      <w:r w:rsidRPr="00206075">
        <w:rPr>
          <w:rFonts w:ascii="Century Gothic" w:eastAsia="Century Gothic" w:hAnsi="Century Gothic" w:cs="Century Gothic"/>
          <w:i/>
          <w:iCs/>
          <w:color w:val="000000"/>
          <w:lang w:val="en-US"/>
        </w:rPr>
        <w:t>Wanci</w:t>
      </w:r>
      <w:proofErr w:type="spellEnd"/>
      <w:r w:rsidRPr="00206075">
        <w:rPr>
          <w:rFonts w:ascii="Century Gothic" w:eastAsia="Century Gothic" w:hAnsi="Century Gothic" w:cs="Century Gothic"/>
          <w:i/>
          <w:iCs/>
          <w:color w:val="000000"/>
          <w:lang w:val="en-US"/>
        </w:rPr>
        <w:t xml:space="preserve"> </w:t>
      </w:r>
      <w:proofErr w:type="spellStart"/>
      <w:r w:rsidRPr="00206075">
        <w:rPr>
          <w:rFonts w:ascii="Century Gothic" w:eastAsia="Century Gothic" w:hAnsi="Century Gothic" w:cs="Century Gothic"/>
          <w:i/>
          <w:iCs/>
          <w:color w:val="000000"/>
          <w:lang w:val="en-US"/>
        </w:rPr>
        <w:t>Kahuripan</w:t>
      </w:r>
      <w:proofErr w:type="spellEnd"/>
      <w:r w:rsidRPr="00206075">
        <w:rPr>
          <w:rFonts w:ascii="Century Gothic" w:eastAsia="Century Gothic" w:hAnsi="Century Gothic" w:cs="Century Gothic"/>
          <w:color w:val="000000"/>
          <w:lang w:val="en-US"/>
        </w:rPr>
        <w:t xml:space="preserve"> dance, a work developed around the historical narrative of Mbah Semi, a figure closely associated with the preservation of traditional dance in Banyuwangi.</w:t>
      </w:r>
    </w:p>
    <w:p w14:paraId="6BF1905D" w14:textId="77777777" w:rsidR="00206075" w:rsidRPr="00206075" w:rsidRDefault="00206075" w:rsidP="00206075">
      <w:pPr>
        <w:pBdr>
          <w:top w:val="nil"/>
          <w:left w:val="nil"/>
          <w:bottom w:val="nil"/>
          <w:right w:val="nil"/>
          <w:between w:val="nil"/>
        </w:pBdr>
        <w:ind w:left="2268" w:firstLine="566"/>
        <w:jc w:val="both"/>
        <w:rPr>
          <w:rFonts w:ascii="Century Gothic" w:eastAsia="Century Gothic" w:hAnsi="Century Gothic" w:cs="Century Gothic"/>
          <w:color w:val="000000"/>
          <w:lang w:val="en-US"/>
        </w:rPr>
      </w:pPr>
      <w:r w:rsidRPr="00206075">
        <w:rPr>
          <w:rFonts w:ascii="Century Gothic" w:eastAsia="Century Gothic" w:hAnsi="Century Gothic" w:cs="Century Gothic"/>
          <w:color w:val="000000"/>
          <w:lang w:val="en-US"/>
        </w:rPr>
        <w:lastRenderedPageBreak/>
        <w:t xml:space="preserve">The primary subject of this study was the extracurricular instructor, Ibu </w:t>
      </w:r>
      <w:proofErr w:type="spellStart"/>
      <w:r w:rsidRPr="00206075">
        <w:rPr>
          <w:rFonts w:ascii="Century Gothic" w:eastAsia="Century Gothic" w:hAnsi="Century Gothic" w:cs="Century Gothic"/>
          <w:color w:val="000000"/>
          <w:lang w:val="en-US"/>
        </w:rPr>
        <w:t>Rudyana</w:t>
      </w:r>
      <w:proofErr w:type="spellEnd"/>
      <w:r w:rsidRPr="00206075">
        <w:rPr>
          <w:rFonts w:ascii="Century Gothic" w:eastAsia="Century Gothic" w:hAnsi="Century Gothic" w:cs="Century Gothic"/>
          <w:color w:val="000000"/>
          <w:lang w:val="en-US"/>
        </w:rPr>
        <w:t xml:space="preserve"> Narastiti, </w:t>
      </w:r>
      <w:proofErr w:type="spellStart"/>
      <w:r w:rsidRPr="00206075">
        <w:rPr>
          <w:rFonts w:ascii="Century Gothic" w:eastAsia="Century Gothic" w:hAnsi="Century Gothic" w:cs="Century Gothic"/>
          <w:color w:val="000000"/>
          <w:lang w:val="en-US"/>
        </w:rPr>
        <w:t>S.Pd</w:t>
      </w:r>
      <w:proofErr w:type="spellEnd"/>
      <w:r w:rsidRPr="00206075">
        <w:rPr>
          <w:rFonts w:ascii="Century Gothic" w:eastAsia="Century Gothic" w:hAnsi="Century Gothic" w:cs="Century Gothic"/>
          <w:color w:val="000000"/>
          <w:lang w:val="en-US"/>
        </w:rPr>
        <w:t xml:space="preserve">., who has served as the coach of the Sekar Arum dance extracurricular program since its establishment approximately four years prior to this research. Supporting data were obtained from student participants involved in the </w:t>
      </w:r>
      <w:proofErr w:type="spellStart"/>
      <w:r w:rsidRPr="00206075">
        <w:rPr>
          <w:rFonts w:ascii="Century Gothic" w:eastAsia="Century Gothic" w:hAnsi="Century Gothic" w:cs="Century Gothic"/>
          <w:i/>
          <w:iCs/>
          <w:color w:val="000000"/>
          <w:lang w:val="en-US"/>
        </w:rPr>
        <w:t>Wanci</w:t>
      </w:r>
      <w:proofErr w:type="spellEnd"/>
      <w:r w:rsidRPr="00206075">
        <w:rPr>
          <w:rFonts w:ascii="Century Gothic" w:eastAsia="Century Gothic" w:hAnsi="Century Gothic" w:cs="Century Gothic"/>
          <w:i/>
          <w:iCs/>
          <w:color w:val="000000"/>
          <w:lang w:val="en-US"/>
        </w:rPr>
        <w:t xml:space="preserve"> </w:t>
      </w:r>
      <w:proofErr w:type="spellStart"/>
      <w:r w:rsidRPr="00206075">
        <w:rPr>
          <w:rFonts w:ascii="Century Gothic" w:eastAsia="Century Gothic" w:hAnsi="Century Gothic" w:cs="Century Gothic"/>
          <w:i/>
          <w:iCs/>
          <w:color w:val="000000"/>
          <w:lang w:val="en-US"/>
        </w:rPr>
        <w:t>Kahuripan</w:t>
      </w:r>
      <w:proofErr w:type="spellEnd"/>
      <w:r w:rsidRPr="00206075">
        <w:rPr>
          <w:rFonts w:ascii="Century Gothic" w:eastAsia="Century Gothic" w:hAnsi="Century Gothic" w:cs="Century Gothic"/>
          <w:color w:val="000000"/>
          <w:lang w:val="en-US"/>
        </w:rPr>
        <w:t xml:space="preserve"> training process. Data were collected through three complementary techniques: (1) semi-structured in-depth interviews with the instructor regarding the teaching methods applied, the evaluation process, and the outcomes observed throughout the training period; (2) direct, non-participatory observation of several training sessions to document the practical application of the imitation and drill methods in real time; and (3) documentation studies, including photographs and video recordings of both training sessions and public performances, used to corroborate interview data and to provide visual evidence of learning outcomes.</w:t>
      </w:r>
    </w:p>
    <w:p w14:paraId="2D3C3A4B" w14:textId="77777777" w:rsidR="00206075" w:rsidRDefault="00206075" w:rsidP="00206075">
      <w:pPr>
        <w:pBdr>
          <w:top w:val="nil"/>
          <w:left w:val="nil"/>
          <w:bottom w:val="nil"/>
          <w:right w:val="nil"/>
          <w:between w:val="nil"/>
        </w:pBdr>
        <w:ind w:left="2268" w:firstLine="566"/>
        <w:jc w:val="both"/>
        <w:rPr>
          <w:rFonts w:ascii="Century Gothic" w:eastAsia="Century Gothic" w:hAnsi="Century Gothic" w:cs="Century Gothic"/>
          <w:color w:val="000000"/>
          <w:lang w:val="en-US"/>
        </w:rPr>
      </w:pPr>
      <w:r w:rsidRPr="00206075">
        <w:rPr>
          <w:rFonts w:ascii="Century Gothic" w:eastAsia="Century Gothic" w:hAnsi="Century Gothic" w:cs="Century Gothic"/>
          <w:color w:val="000000"/>
          <w:lang w:val="en-US"/>
        </w:rPr>
        <w:t>Data analysis followed the interactive model proposed by Miles, Huberman, and Saldaña (2014), consisting of three concurrent stages: data reduction, in which raw interview transcripts and field notes were condensed and organized according to emerging themes such as evaluation, learning outcomes, and student performance; data display, in which the reduced data were organized into descriptive narrative categories corresponding to the research objectives; and conclusion drawing/verification, in which patterns identified across interviews, observations, and documentation were cross-checked to ensure the credibility of the findings. To strengthen the trustworthiness of the data, source triangulation was applied by comparing information obtained from the instructor's interviews with direct observational data and documented performance records. This triangulation process was intended to minimize bias arising from reliance on a single data source and to ensure that the interpretations presented in the Results and Discussion section were firmly grounded in convergent evidence.</w:t>
      </w:r>
    </w:p>
    <w:p w14:paraId="505BCA70" w14:textId="77777777" w:rsidR="006848C4" w:rsidRDefault="006848C4" w:rsidP="006848C4">
      <w:pPr>
        <w:pBdr>
          <w:top w:val="nil"/>
          <w:left w:val="nil"/>
          <w:bottom w:val="nil"/>
          <w:right w:val="nil"/>
          <w:between w:val="nil"/>
        </w:pBdr>
        <w:ind w:left="2268" w:firstLine="566"/>
        <w:jc w:val="both"/>
        <w:rPr>
          <w:rFonts w:ascii="Century Gothic" w:eastAsia="Century Gothic" w:hAnsi="Century Gothic" w:cs="Century Gothic"/>
          <w:color w:val="000000"/>
          <w:lang w:val="en-US"/>
        </w:rPr>
      </w:pPr>
      <w:r w:rsidRPr="006848C4">
        <w:rPr>
          <w:rFonts w:ascii="Century Gothic" w:eastAsia="Century Gothic" w:hAnsi="Century Gothic" w:cs="Century Gothic"/>
          <w:color w:val="000000"/>
          <w:lang w:val="en-US"/>
        </w:rPr>
        <w:t>The choice of a single-case qualitative design over a multi-site or quantitative comparative design was deliberate, reflecting the study's aim to generate an in-depth, contextually grounded understanding of how a specific instructor's pedagogical practice unfolds over time, rather than to produce generalizable statistical claims about the relative effectiveness of imitation versus drill methods across dance programs. This design choice is consistent with the broader tradition of qualitative case study research in arts education, which prioritizes thick description and contextual nuance over statistical generalizability (Creswell &amp; Creswell, 2018). Data collection took place over the course of several training sessions leading up to, and immediately following, the two documented public performances referenced in the Results section, allowing the researcher to observe not only the steady-state training process but also the intensified preparation period commonly associated with pre-performance rehearsal.</w:t>
      </w:r>
    </w:p>
    <w:p w14:paraId="57552CF3" w14:textId="2E832D7A" w:rsidR="009828BB" w:rsidRPr="006848C4" w:rsidRDefault="009828BB" w:rsidP="006848C4">
      <w:pPr>
        <w:pBdr>
          <w:top w:val="nil"/>
          <w:left w:val="nil"/>
          <w:bottom w:val="nil"/>
          <w:right w:val="nil"/>
          <w:between w:val="nil"/>
        </w:pBdr>
        <w:ind w:left="2268" w:firstLine="566"/>
        <w:jc w:val="both"/>
        <w:rPr>
          <w:rFonts w:ascii="Century Gothic" w:eastAsia="Century Gothic" w:hAnsi="Century Gothic" w:cs="Century Gothic"/>
          <w:color w:val="000000"/>
          <w:lang w:val="en-US"/>
        </w:rPr>
      </w:pPr>
      <w:r w:rsidRPr="009828BB">
        <w:rPr>
          <w:rFonts w:ascii="Century Gothic" w:eastAsia="Century Gothic" w:hAnsi="Century Gothic" w:cs="Century Gothic"/>
          <w:color w:val="000000"/>
        </w:rPr>
        <w:t>The use of multiple data collection techniques enabled methodological triangulation, allowing interview findings to be continuously compared with observational evidence and documentation obtained throughout the research process. This approach increased the credibility of the findings by reducing dependence on a single source of information and providing a richer understanding of how the imitation and drill methods were implemented across different learning situations.</w:t>
      </w:r>
    </w:p>
    <w:p w14:paraId="6C720CB1" w14:textId="77777777" w:rsidR="006848C4" w:rsidRPr="006848C4" w:rsidRDefault="006848C4" w:rsidP="006848C4">
      <w:pPr>
        <w:pBdr>
          <w:top w:val="nil"/>
          <w:left w:val="nil"/>
          <w:bottom w:val="nil"/>
          <w:right w:val="nil"/>
          <w:between w:val="nil"/>
        </w:pBdr>
        <w:ind w:left="2268" w:firstLine="566"/>
        <w:jc w:val="both"/>
        <w:rPr>
          <w:rFonts w:ascii="Century Gothic" w:eastAsia="Century Gothic" w:hAnsi="Century Gothic" w:cs="Century Gothic"/>
          <w:color w:val="000000"/>
          <w:lang w:val="en-US"/>
        </w:rPr>
      </w:pPr>
      <w:r w:rsidRPr="006848C4">
        <w:rPr>
          <w:rFonts w:ascii="Century Gothic" w:eastAsia="Century Gothic" w:hAnsi="Century Gothic" w:cs="Century Gothic"/>
          <w:color w:val="000000"/>
          <w:lang w:val="en-US"/>
        </w:rPr>
        <w:lastRenderedPageBreak/>
        <w:t>Ethical considerations were addressed by obtaining informed consent from the instructor prior to the interview process and by ensuring that any documentation involving student participants was limited to group-level observation rather than individually identifying data, in accordance with standard ethical practice for qualitative research involving minors in an educational setting.</w:t>
      </w:r>
    </w:p>
    <w:p w14:paraId="3CEC630B" w14:textId="77777777" w:rsidR="00206075" w:rsidRPr="00206075" w:rsidRDefault="00206075">
      <w:pPr>
        <w:pBdr>
          <w:top w:val="nil"/>
          <w:left w:val="nil"/>
          <w:bottom w:val="nil"/>
          <w:right w:val="nil"/>
          <w:between w:val="nil"/>
        </w:pBdr>
        <w:ind w:left="2268" w:firstLine="566"/>
        <w:jc w:val="both"/>
        <w:rPr>
          <w:rFonts w:ascii="Century Gothic" w:eastAsia="Century Gothic" w:hAnsi="Century Gothic" w:cs="Century Gothic"/>
          <w:color w:val="000000"/>
          <w:lang w:val="en-US"/>
        </w:rPr>
      </w:pPr>
    </w:p>
    <w:p w14:paraId="77955D17" w14:textId="77777777" w:rsidR="00627A8F" w:rsidRDefault="00000000">
      <w:pPr>
        <w:pStyle w:val="Heading1"/>
        <w:spacing w:before="120" w:after="120"/>
        <w:ind w:firstLine="0"/>
        <w:rPr>
          <w:rFonts w:ascii="Century Gothic" w:eastAsia="Century Gothic" w:hAnsi="Century Gothic" w:cs="Century Gothic"/>
          <w:sz w:val="20"/>
          <w:szCs w:val="20"/>
        </w:rPr>
      </w:pPr>
      <w:r>
        <w:rPr>
          <w:rFonts w:ascii="Century Gothic" w:eastAsia="Century Gothic" w:hAnsi="Century Gothic" w:cs="Century Gothic"/>
          <w:sz w:val="20"/>
          <w:szCs w:val="20"/>
        </w:rPr>
        <w:t>3. RESULTS AND DISCUSSION</w:t>
      </w:r>
    </w:p>
    <w:p w14:paraId="38212980" w14:textId="77777777" w:rsidR="00627A8F" w:rsidRDefault="00000000">
      <w:pPr>
        <w:pStyle w:val="Heading2"/>
        <w:spacing w:before="0" w:after="120"/>
        <w:ind w:left="2268" w:firstLine="0"/>
        <w:rPr>
          <w:rFonts w:ascii="Century Gothic" w:eastAsia="Century Gothic" w:hAnsi="Century Gothic" w:cs="Century Gothic"/>
          <w:sz w:val="20"/>
          <w:szCs w:val="20"/>
        </w:rPr>
      </w:pPr>
      <w:r>
        <w:rPr>
          <w:rFonts w:ascii="Century Gothic" w:eastAsia="Century Gothic" w:hAnsi="Century Gothic" w:cs="Century Gothic"/>
          <w:sz w:val="20"/>
          <w:szCs w:val="20"/>
        </w:rPr>
        <w:t>3.1 Results</w:t>
      </w:r>
    </w:p>
    <w:p w14:paraId="61307E3E" w14:textId="77777777" w:rsidR="00206075" w:rsidRPr="00206075" w:rsidRDefault="00206075" w:rsidP="00206075">
      <w:pPr>
        <w:pBdr>
          <w:top w:val="nil"/>
          <w:left w:val="nil"/>
          <w:bottom w:val="nil"/>
          <w:right w:val="nil"/>
          <w:between w:val="nil"/>
        </w:pBdr>
        <w:ind w:left="2268" w:hanging="18"/>
        <w:jc w:val="both"/>
        <w:rPr>
          <w:rFonts w:ascii="Century Gothic" w:eastAsia="Century Gothic" w:hAnsi="Century Gothic" w:cs="Century Gothic"/>
          <w:b/>
          <w:bCs/>
          <w:i/>
          <w:iCs/>
          <w:color w:val="000000"/>
          <w:lang w:val="en-US"/>
        </w:rPr>
      </w:pPr>
      <w:r w:rsidRPr="00206075">
        <w:rPr>
          <w:rFonts w:ascii="Century Gothic" w:eastAsia="Century Gothic" w:hAnsi="Century Gothic" w:cs="Century Gothic"/>
          <w:b/>
          <w:bCs/>
          <w:i/>
          <w:iCs/>
          <w:color w:val="000000"/>
          <w:lang w:val="en-US"/>
        </w:rPr>
        <w:t>3.1.1 Continuous Evaluation in the Learning Process</w:t>
      </w:r>
    </w:p>
    <w:p w14:paraId="1C67FD19" w14:textId="77777777" w:rsidR="00206075" w:rsidRPr="00206075" w:rsidRDefault="00206075" w:rsidP="00206075">
      <w:pPr>
        <w:pBdr>
          <w:top w:val="nil"/>
          <w:left w:val="nil"/>
          <w:bottom w:val="nil"/>
          <w:right w:val="nil"/>
          <w:between w:val="nil"/>
        </w:pBdr>
        <w:ind w:left="2268" w:firstLine="566"/>
        <w:jc w:val="both"/>
        <w:rPr>
          <w:rFonts w:ascii="Century Gothic" w:eastAsia="Century Gothic" w:hAnsi="Century Gothic" w:cs="Century Gothic"/>
          <w:color w:val="000000"/>
          <w:lang w:val="en-US"/>
        </w:rPr>
      </w:pPr>
      <w:r w:rsidRPr="00206075">
        <w:rPr>
          <w:rFonts w:ascii="Century Gothic" w:eastAsia="Century Gothic" w:hAnsi="Century Gothic" w:cs="Century Gothic"/>
          <w:color w:val="000000"/>
          <w:lang w:val="en-US"/>
        </w:rPr>
        <w:t xml:space="preserve">Evaluation within the </w:t>
      </w:r>
      <w:proofErr w:type="spellStart"/>
      <w:r w:rsidRPr="00206075">
        <w:rPr>
          <w:rFonts w:ascii="Century Gothic" w:eastAsia="Century Gothic" w:hAnsi="Century Gothic" w:cs="Century Gothic"/>
          <w:i/>
          <w:iCs/>
          <w:color w:val="000000"/>
          <w:lang w:val="en-US"/>
        </w:rPr>
        <w:t>Wanci</w:t>
      </w:r>
      <w:proofErr w:type="spellEnd"/>
      <w:r w:rsidRPr="00206075">
        <w:rPr>
          <w:rFonts w:ascii="Century Gothic" w:eastAsia="Century Gothic" w:hAnsi="Century Gothic" w:cs="Century Gothic"/>
          <w:i/>
          <w:iCs/>
          <w:color w:val="000000"/>
          <w:lang w:val="en-US"/>
        </w:rPr>
        <w:t xml:space="preserve"> </w:t>
      </w:r>
      <w:proofErr w:type="spellStart"/>
      <w:r w:rsidRPr="00206075">
        <w:rPr>
          <w:rFonts w:ascii="Century Gothic" w:eastAsia="Century Gothic" w:hAnsi="Century Gothic" w:cs="Century Gothic"/>
          <w:i/>
          <w:iCs/>
          <w:color w:val="000000"/>
          <w:lang w:val="en-US"/>
        </w:rPr>
        <w:t>Kahuripan</w:t>
      </w:r>
      <w:proofErr w:type="spellEnd"/>
      <w:r w:rsidRPr="00206075">
        <w:rPr>
          <w:rFonts w:ascii="Century Gothic" w:eastAsia="Century Gothic" w:hAnsi="Century Gothic" w:cs="Century Gothic"/>
          <w:color w:val="000000"/>
          <w:lang w:val="en-US"/>
        </w:rPr>
        <w:t xml:space="preserve"> dance learning process was conducted by Ibu </w:t>
      </w:r>
      <w:proofErr w:type="spellStart"/>
      <w:r w:rsidRPr="00206075">
        <w:rPr>
          <w:rFonts w:ascii="Century Gothic" w:eastAsia="Century Gothic" w:hAnsi="Century Gothic" w:cs="Century Gothic"/>
          <w:color w:val="000000"/>
          <w:lang w:val="en-US"/>
        </w:rPr>
        <w:t>Rudyana</w:t>
      </w:r>
      <w:proofErr w:type="spellEnd"/>
      <w:r w:rsidRPr="00206075">
        <w:rPr>
          <w:rFonts w:ascii="Century Gothic" w:eastAsia="Century Gothic" w:hAnsi="Century Gothic" w:cs="Century Gothic"/>
          <w:color w:val="000000"/>
          <w:lang w:val="en-US"/>
        </w:rPr>
        <w:t xml:space="preserve"> Narastiti, </w:t>
      </w:r>
      <w:proofErr w:type="spellStart"/>
      <w:r w:rsidRPr="00206075">
        <w:rPr>
          <w:rFonts w:ascii="Century Gothic" w:eastAsia="Century Gothic" w:hAnsi="Century Gothic" w:cs="Century Gothic"/>
          <w:color w:val="000000"/>
          <w:lang w:val="en-US"/>
        </w:rPr>
        <w:t>S.Pd</w:t>
      </w:r>
      <w:proofErr w:type="spellEnd"/>
      <w:r w:rsidRPr="00206075">
        <w:rPr>
          <w:rFonts w:ascii="Century Gothic" w:eastAsia="Century Gothic" w:hAnsi="Century Gothic" w:cs="Century Gothic"/>
          <w:color w:val="000000"/>
          <w:lang w:val="en-US"/>
        </w:rPr>
        <w:t>. on a continuous basis at the end of each training session. This evaluation was carried out by asking students to re-perform the movement sequence that had been taught during that session. The primary purpose of this evaluative stage was threefold: to measure the accuracy of students' movement memorization, to assess the consistency of their tempo, and to determine each student's readiness before new movement material was introduced. This stage-by-stage evaluative structure ensured that new material was only introduced once a sufficient level of mastery had been achieved for the preceding sequence, thereby preventing the accumulation of technical errors across sessions.</w:t>
      </w:r>
    </w:p>
    <w:p w14:paraId="5C656320" w14:textId="77777777" w:rsidR="00206075" w:rsidRPr="00206075" w:rsidRDefault="00206075" w:rsidP="00206075">
      <w:pPr>
        <w:pBdr>
          <w:top w:val="nil"/>
          <w:left w:val="nil"/>
          <w:bottom w:val="nil"/>
          <w:right w:val="nil"/>
          <w:between w:val="nil"/>
        </w:pBdr>
        <w:ind w:left="2268" w:firstLine="566"/>
        <w:jc w:val="both"/>
        <w:rPr>
          <w:rFonts w:ascii="Century Gothic" w:eastAsia="Century Gothic" w:hAnsi="Century Gothic" w:cs="Century Gothic"/>
          <w:color w:val="000000"/>
          <w:lang w:val="en-US"/>
        </w:rPr>
      </w:pPr>
      <w:r w:rsidRPr="00206075">
        <w:rPr>
          <w:rFonts w:ascii="Century Gothic" w:eastAsia="Century Gothic" w:hAnsi="Century Gothic" w:cs="Century Gothic"/>
          <w:color w:val="000000"/>
          <w:lang w:val="en-US"/>
        </w:rPr>
        <w:t xml:space="preserve">Beyond the technical evaluation of movement, the instructor also applied a personalized approach to each student. As explained by Ibu </w:t>
      </w:r>
      <w:proofErr w:type="spellStart"/>
      <w:r w:rsidRPr="00206075">
        <w:rPr>
          <w:rFonts w:ascii="Century Gothic" w:eastAsia="Century Gothic" w:hAnsi="Century Gothic" w:cs="Century Gothic"/>
          <w:color w:val="000000"/>
          <w:lang w:val="en-US"/>
        </w:rPr>
        <w:t>Rudyana</w:t>
      </w:r>
      <w:proofErr w:type="spellEnd"/>
      <w:r w:rsidRPr="00206075">
        <w:rPr>
          <w:rFonts w:ascii="Century Gothic" w:eastAsia="Century Gothic" w:hAnsi="Century Gothic" w:cs="Century Gothic"/>
          <w:color w:val="000000"/>
          <w:lang w:val="en-US"/>
        </w:rPr>
        <w:t xml:space="preserve"> </w:t>
      </w:r>
      <w:proofErr w:type="spellStart"/>
      <w:r w:rsidRPr="00206075">
        <w:rPr>
          <w:rFonts w:ascii="Century Gothic" w:eastAsia="Century Gothic" w:hAnsi="Century Gothic" w:cs="Century Gothic"/>
          <w:color w:val="000000"/>
          <w:lang w:val="en-US"/>
        </w:rPr>
        <w:t>Narastiti</w:t>
      </w:r>
      <w:proofErr w:type="spellEnd"/>
      <w:r w:rsidRPr="00206075">
        <w:rPr>
          <w:rFonts w:ascii="Century Gothic" w:eastAsia="Century Gothic" w:hAnsi="Century Gothic" w:cs="Century Gothic"/>
          <w:color w:val="000000"/>
          <w:lang w:val="en-US"/>
        </w:rPr>
        <w:t xml:space="preserve"> in her capacity as coach of the Sekar Arum dance extracurricular program:</w:t>
      </w:r>
    </w:p>
    <w:p w14:paraId="3898A18F" w14:textId="60F9DD52" w:rsidR="00206075" w:rsidRPr="00206075" w:rsidRDefault="00206075" w:rsidP="00206075">
      <w:pPr>
        <w:pBdr>
          <w:top w:val="nil"/>
          <w:left w:val="nil"/>
          <w:bottom w:val="nil"/>
          <w:right w:val="nil"/>
          <w:between w:val="nil"/>
        </w:pBdr>
        <w:ind w:left="2268" w:firstLine="566"/>
        <w:jc w:val="both"/>
        <w:rPr>
          <w:rFonts w:ascii="Century Gothic" w:eastAsia="Century Gothic" w:hAnsi="Century Gothic" w:cs="Century Gothic"/>
          <w:color w:val="000000"/>
          <w:lang w:val="en-US"/>
        </w:rPr>
      </w:pPr>
      <w:r w:rsidRPr="00206075">
        <w:rPr>
          <w:rFonts w:ascii="Century Gothic" w:eastAsia="Century Gothic" w:hAnsi="Century Gothic" w:cs="Century Gothic"/>
          <w:color w:val="000000"/>
          <w:lang w:val="en-US"/>
        </w:rPr>
        <w:t>"Almost every school in Mojokerto has a dance extracurricular program. What distinguishes ours</w:t>
      </w:r>
      <w:r w:rsidR="006848C4">
        <w:rPr>
          <w:rFonts w:ascii="Century Gothic" w:eastAsia="Century Gothic" w:hAnsi="Century Gothic" w:cs="Century Gothic"/>
          <w:color w:val="000000"/>
          <w:lang w:val="en-US"/>
        </w:rPr>
        <w:t xml:space="preserve"> </w:t>
      </w:r>
      <w:r w:rsidRPr="00206075">
        <w:rPr>
          <w:rFonts w:ascii="Century Gothic" w:eastAsia="Century Gothic" w:hAnsi="Century Gothic" w:cs="Century Gothic"/>
          <w:color w:val="000000"/>
          <w:lang w:val="en-US"/>
        </w:rPr>
        <w:t>since it has only been established for around four years</w:t>
      </w:r>
      <w:r w:rsidR="006848C4">
        <w:rPr>
          <w:rFonts w:ascii="Century Gothic" w:eastAsia="Century Gothic" w:hAnsi="Century Gothic" w:cs="Century Gothic"/>
          <w:color w:val="000000"/>
          <w:lang w:val="en-US"/>
        </w:rPr>
        <w:t xml:space="preserve"> </w:t>
      </w:r>
      <w:r w:rsidRPr="00206075">
        <w:rPr>
          <w:rFonts w:ascii="Century Gothic" w:eastAsia="Century Gothic" w:hAnsi="Century Gothic" w:cs="Century Gothic"/>
          <w:color w:val="000000"/>
          <w:lang w:val="en-US"/>
        </w:rPr>
        <w:t>is the teaching method we use, along with the individual approach we take with each student, so that they feel comfortable participating in the dance extracurricular."</w:t>
      </w:r>
    </w:p>
    <w:p w14:paraId="527ACA1B" w14:textId="77777777" w:rsidR="00206075" w:rsidRDefault="00206075" w:rsidP="00206075">
      <w:pPr>
        <w:pBdr>
          <w:top w:val="nil"/>
          <w:left w:val="nil"/>
          <w:bottom w:val="nil"/>
          <w:right w:val="nil"/>
          <w:between w:val="nil"/>
        </w:pBdr>
        <w:ind w:left="2268" w:firstLine="566"/>
        <w:jc w:val="both"/>
        <w:rPr>
          <w:rFonts w:ascii="Century Gothic" w:eastAsia="Century Gothic" w:hAnsi="Century Gothic" w:cs="Century Gothic"/>
          <w:color w:val="000000"/>
          <w:lang w:val="en-US"/>
        </w:rPr>
      </w:pPr>
      <w:r w:rsidRPr="00206075">
        <w:rPr>
          <w:rFonts w:ascii="Century Gothic" w:eastAsia="Century Gothic" w:hAnsi="Century Gothic" w:cs="Century Gothic"/>
          <w:color w:val="000000"/>
          <w:lang w:val="en-US"/>
        </w:rPr>
        <w:t xml:space="preserve">This statement indicates that the evaluation process implemented in the </w:t>
      </w:r>
      <w:proofErr w:type="spellStart"/>
      <w:r w:rsidRPr="00206075">
        <w:rPr>
          <w:rFonts w:ascii="Century Gothic" w:eastAsia="Century Gothic" w:hAnsi="Century Gothic" w:cs="Century Gothic"/>
          <w:i/>
          <w:iCs/>
          <w:color w:val="000000"/>
          <w:lang w:val="en-US"/>
        </w:rPr>
        <w:t>Wanci</w:t>
      </w:r>
      <w:proofErr w:type="spellEnd"/>
      <w:r w:rsidRPr="00206075">
        <w:rPr>
          <w:rFonts w:ascii="Century Gothic" w:eastAsia="Century Gothic" w:hAnsi="Century Gothic" w:cs="Century Gothic"/>
          <w:i/>
          <w:iCs/>
          <w:color w:val="000000"/>
          <w:lang w:val="en-US"/>
        </w:rPr>
        <w:t xml:space="preserve"> </w:t>
      </w:r>
      <w:proofErr w:type="spellStart"/>
      <w:r w:rsidRPr="00206075">
        <w:rPr>
          <w:rFonts w:ascii="Century Gothic" w:eastAsia="Century Gothic" w:hAnsi="Century Gothic" w:cs="Century Gothic"/>
          <w:i/>
          <w:iCs/>
          <w:color w:val="000000"/>
          <w:lang w:val="en-US"/>
        </w:rPr>
        <w:t>Kahuripan</w:t>
      </w:r>
      <w:proofErr w:type="spellEnd"/>
      <w:r w:rsidRPr="00206075">
        <w:rPr>
          <w:rFonts w:ascii="Century Gothic" w:eastAsia="Century Gothic" w:hAnsi="Century Gothic" w:cs="Century Gothic"/>
          <w:color w:val="000000"/>
          <w:lang w:val="en-US"/>
        </w:rPr>
        <w:t xml:space="preserve"> learning program was not oriented solely toward technical achievement in movement, but was equally concerned with students' psychological comfort throughout the learning process. This personalized dimension emerged as a distinguishing characteristic of the Sekar Arum extracurricular program relative to other dance extracurricular activities in the Mojokerto region.</w:t>
      </w:r>
    </w:p>
    <w:p w14:paraId="4FE7B367" w14:textId="705A06D8" w:rsidR="009828BB" w:rsidRPr="00206075" w:rsidRDefault="009828BB" w:rsidP="00206075">
      <w:pPr>
        <w:pBdr>
          <w:top w:val="nil"/>
          <w:left w:val="nil"/>
          <w:bottom w:val="nil"/>
          <w:right w:val="nil"/>
          <w:between w:val="nil"/>
        </w:pBdr>
        <w:ind w:left="2268" w:firstLine="566"/>
        <w:jc w:val="both"/>
        <w:rPr>
          <w:rFonts w:ascii="Century Gothic" w:eastAsia="Century Gothic" w:hAnsi="Century Gothic" w:cs="Century Gothic"/>
          <w:color w:val="000000"/>
          <w:lang w:val="en-US"/>
        </w:rPr>
      </w:pPr>
      <w:r w:rsidRPr="009828BB">
        <w:rPr>
          <w:rFonts w:ascii="Century Gothic" w:eastAsia="Century Gothic" w:hAnsi="Century Gothic" w:cs="Century Gothic"/>
          <w:color w:val="000000"/>
        </w:rPr>
        <w:t>From an instructional perspective, this continuous evaluation can also be interpreted as formative assessment because it was integrated into the learning process rather than conducted only at the end of instruction. Immediate feedback enabled students to recognize errors, refine movement execution, and progress to subsequent learning stages with greater confidence.</w:t>
      </w:r>
    </w:p>
    <w:p w14:paraId="4BA861DF" w14:textId="77777777" w:rsidR="00206075" w:rsidRPr="00206075" w:rsidRDefault="00206075" w:rsidP="00206075">
      <w:pPr>
        <w:pBdr>
          <w:top w:val="nil"/>
          <w:left w:val="nil"/>
          <w:bottom w:val="nil"/>
          <w:right w:val="nil"/>
          <w:between w:val="nil"/>
        </w:pBdr>
        <w:ind w:left="2268" w:hanging="18"/>
        <w:jc w:val="both"/>
        <w:rPr>
          <w:rFonts w:ascii="Century Gothic" w:eastAsia="Century Gothic" w:hAnsi="Century Gothic" w:cs="Century Gothic"/>
          <w:b/>
          <w:bCs/>
          <w:i/>
          <w:iCs/>
          <w:color w:val="000000"/>
          <w:lang w:val="en-US"/>
        </w:rPr>
      </w:pPr>
      <w:r w:rsidRPr="00206075">
        <w:rPr>
          <w:rFonts w:ascii="Century Gothic" w:eastAsia="Century Gothic" w:hAnsi="Century Gothic" w:cs="Century Gothic"/>
          <w:b/>
          <w:bCs/>
          <w:i/>
          <w:iCs/>
          <w:color w:val="000000"/>
          <w:lang w:val="en-US"/>
        </w:rPr>
        <w:t xml:space="preserve">3.1.2 Learning Outcomes of </w:t>
      </w:r>
      <w:proofErr w:type="spellStart"/>
      <w:r w:rsidRPr="00206075">
        <w:rPr>
          <w:rFonts w:ascii="Century Gothic" w:eastAsia="Century Gothic" w:hAnsi="Century Gothic" w:cs="Century Gothic"/>
          <w:b/>
          <w:bCs/>
          <w:i/>
          <w:iCs/>
          <w:color w:val="000000"/>
          <w:lang w:val="en-US"/>
        </w:rPr>
        <w:t>Wanci</w:t>
      </w:r>
      <w:proofErr w:type="spellEnd"/>
      <w:r w:rsidRPr="00206075">
        <w:rPr>
          <w:rFonts w:ascii="Century Gothic" w:eastAsia="Century Gothic" w:hAnsi="Century Gothic" w:cs="Century Gothic"/>
          <w:b/>
          <w:bCs/>
          <w:i/>
          <w:iCs/>
          <w:color w:val="000000"/>
          <w:lang w:val="en-US"/>
        </w:rPr>
        <w:t xml:space="preserve"> </w:t>
      </w:r>
      <w:proofErr w:type="spellStart"/>
      <w:r w:rsidRPr="00206075">
        <w:rPr>
          <w:rFonts w:ascii="Century Gothic" w:eastAsia="Century Gothic" w:hAnsi="Century Gothic" w:cs="Century Gothic"/>
          <w:b/>
          <w:bCs/>
          <w:i/>
          <w:iCs/>
          <w:color w:val="000000"/>
          <w:lang w:val="en-US"/>
        </w:rPr>
        <w:t>Kahuripan</w:t>
      </w:r>
      <w:proofErr w:type="spellEnd"/>
      <w:r w:rsidRPr="00206075">
        <w:rPr>
          <w:rFonts w:ascii="Century Gothic" w:eastAsia="Century Gothic" w:hAnsi="Century Gothic" w:cs="Century Gothic"/>
          <w:b/>
          <w:bCs/>
          <w:i/>
          <w:iCs/>
          <w:color w:val="000000"/>
          <w:lang w:val="en-US"/>
        </w:rPr>
        <w:t xml:space="preserve"> Dance</w:t>
      </w:r>
    </w:p>
    <w:p w14:paraId="15BF8FB7" w14:textId="77777777" w:rsidR="00206075" w:rsidRPr="00206075" w:rsidRDefault="00206075" w:rsidP="00206075">
      <w:pPr>
        <w:pBdr>
          <w:top w:val="nil"/>
          <w:left w:val="nil"/>
          <w:bottom w:val="nil"/>
          <w:right w:val="nil"/>
          <w:between w:val="nil"/>
        </w:pBdr>
        <w:ind w:left="2268" w:firstLine="566"/>
        <w:jc w:val="both"/>
        <w:rPr>
          <w:rFonts w:ascii="Century Gothic" w:eastAsia="Century Gothic" w:hAnsi="Century Gothic" w:cs="Century Gothic"/>
          <w:color w:val="000000"/>
          <w:lang w:val="en-US"/>
        </w:rPr>
      </w:pPr>
      <w:r w:rsidRPr="00206075">
        <w:rPr>
          <w:rFonts w:ascii="Century Gothic" w:eastAsia="Century Gothic" w:hAnsi="Century Gothic" w:cs="Century Gothic"/>
          <w:color w:val="000000"/>
          <w:lang w:val="en-US"/>
        </w:rPr>
        <w:t xml:space="preserve">The application of imitation and drill methods in learning </w:t>
      </w:r>
      <w:proofErr w:type="spellStart"/>
      <w:r w:rsidRPr="00206075">
        <w:rPr>
          <w:rFonts w:ascii="Century Gothic" w:eastAsia="Century Gothic" w:hAnsi="Century Gothic" w:cs="Century Gothic"/>
          <w:i/>
          <w:iCs/>
          <w:color w:val="000000"/>
          <w:lang w:val="en-US"/>
        </w:rPr>
        <w:t>Wanci</w:t>
      </w:r>
      <w:proofErr w:type="spellEnd"/>
      <w:r w:rsidRPr="00206075">
        <w:rPr>
          <w:rFonts w:ascii="Century Gothic" w:eastAsia="Century Gothic" w:hAnsi="Century Gothic" w:cs="Century Gothic"/>
          <w:i/>
          <w:iCs/>
          <w:color w:val="000000"/>
          <w:lang w:val="en-US"/>
        </w:rPr>
        <w:t xml:space="preserve"> </w:t>
      </w:r>
      <w:proofErr w:type="spellStart"/>
      <w:r w:rsidRPr="00206075">
        <w:rPr>
          <w:rFonts w:ascii="Century Gothic" w:eastAsia="Century Gothic" w:hAnsi="Century Gothic" w:cs="Century Gothic"/>
          <w:i/>
          <w:iCs/>
          <w:color w:val="000000"/>
          <w:lang w:val="en-US"/>
        </w:rPr>
        <w:t>Kahuripan</w:t>
      </w:r>
      <w:proofErr w:type="spellEnd"/>
      <w:r w:rsidRPr="00206075">
        <w:rPr>
          <w:rFonts w:ascii="Century Gothic" w:eastAsia="Century Gothic" w:hAnsi="Century Gothic" w:cs="Century Gothic"/>
          <w:color w:val="000000"/>
          <w:lang w:val="en-US"/>
        </w:rPr>
        <w:t xml:space="preserve"> dance within the Sekar Arum extracurricular program produced outcomes that aligned closely with the instructor's expectations. This was directly conveyed by Ibu </w:t>
      </w:r>
      <w:proofErr w:type="spellStart"/>
      <w:r w:rsidRPr="00206075">
        <w:rPr>
          <w:rFonts w:ascii="Century Gothic" w:eastAsia="Century Gothic" w:hAnsi="Century Gothic" w:cs="Century Gothic"/>
          <w:color w:val="000000"/>
          <w:lang w:val="en-US"/>
        </w:rPr>
        <w:t>Rudyana</w:t>
      </w:r>
      <w:proofErr w:type="spellEnd"/>
      <w:r w:rsidRPr="00206075">
        <w:rPr>
          <w:rFonts w:ascii="Century Gothic" w:eastAsia="Century Gothic" w:hAnsi="Century Gothic" w:cs="Century Gothic"/>
          <w:color w:val="000000"/>
          <w:lang w:val="en-US"/>
        </w:rPr>
        <w:t xml:space="preserve"> Narastiti:</w:t>
      </w:r>
    </w:p>
    <w:p w14:paraId="70F921F0" w14:textId="1192D7B0" w:rsidR="00206075" w:rsidRPr="00206075" w:rsidRDefault="00206075" w:rsidP="00206075">
      <w:pPr>
        <w:pBdr>
          <w:top w:val="nil"/>
          <w:left w:val="nil"/>
          <w:bottom w:val="nil"/>
          <w:right w:val="nil"/>
          <w:between w:val="nil"/>
        </w:pBdr>
        <w:ind w:left="2268" w:firstLine="566"/>
        <w:jc w:val="both"/>
        <w:rPr>
          <w:rFonts w:ascii="Century Gothic" w:eastAsia="Century Gothic" w:hAnsi="Century Gothic" w:cs="Century Gothic"/>
          <w:color w:val="000000"/>
          <w:lang w:val="en-US"/>
        </w:rPr>
      </w:pPr>
      <w:r w:rsidRPr="00206075">
        <w:rPr>
          <w:rFonts w:ascii="Century Gothic" w:eastAsia="Century Gothic" w:hAnsi="Century Gothic" w:cs="Century Gothic"/>
          <w:color w:val="000000"/>
          <w:lang w:val="en-US"/>
        </w:rPr>
        <w:t xml:space="preserve">"Overall, the results achieved were in line with, and even close to, what I had hoped for. The imitation method greatly helped students understand and replicate the dance movements correctly, because they could directly observe the clear and structured example I </w:t>
      </w:r>
      <w:r w:rsidRPr="00206075">
        <w:rPr>
          <w:rFonts w:ascii="Century Gothic" w:eastAsia="Century Gothic" w:hAnsi="Century Gothic" w:cs="Century Gothic"/>
          <w:color w:val="000000"/>
          <w:lang w:val="en-US"/>
        </w:rPr>
        <w:lastRenderedPageBreak/>
        <w:t>demonstrated. Once students began to master the basic form, the drill method</w:t>
      </w:r>
      <w:r w:rsidR="006848C4">
        <w:rPr>
          <w:rFonts w:ascii="Century Gothic" w:eastAsia="Century Gothic" w:hAnsi="Century Gothic" w:cs="Century Gothic"/>
          <w:color w:val="000000"/>
          <w:lang w:val="en-US"/>
        </w:rPr>
        <w:t xml:space="preserve"> </w:t>
      </w:r>
      <w:r w:rsidRPr="00206075">
        <w:rPr>
          <w:rFonts w:ascii="Century Gothic" w:eastAsia="Century Gothic" w:hAnsi="Century Gothic" w:cs="Century Gothic"/>
          <w:color w:val="000000"/>
          <w:lang w:val="en-US"/>
        </w:rPr>
        <w:t>repeated practice</w:t>
      </w:r>
      <w:r w:rsidR="006848C4">
        <w:rPr>
          <w:rFonts w:ascii="Century Gothic" w:eastAsia="Century Gothic" w:hAnsi="Century Gothic" w:cs="Century Gothic"/>
          <w:color w:val="000000"/>
          <w:lang w:val="en-US"/>
        </w:rPr>
        <w:t xml:space="preserve"> </w:t>
      </w:r>
      <w:r w:rsidRPr="00206075">
        <w:rPr>
          <w:rFonts w:ascii="Century Gothic" w:eastAsia="Century Gothic" w:hAnsi="Century Gothic" w:cs="Century Gothic"/>
          <w:color w:val="000000"/>
          <w:lang w:val="en-US"/>
        </w:rPr>
        <w:t>that I applied made their movements more orderly, coordinated, and fluid when performing."</w:t>
      </w:r>
    </w:p>
    <w:p w14:paraId="2097F8D0" w14:textId="4293F705" w:rsidR="00206075" w:rsidRPr="00206075" w:rsidRDefault="00206075" w:rsidP="00206075">
      <w:pPr>
        <w:pBdr>
          <w:top w:val="nil"/>
          <w:left w:val="nil"/>
          <w:bottom w:val="nil"/>
          <w:right w:val="nil"/>
          <w:between w:val="nil"/>
        </w:pBdr>
        <w:ind w:left="2268" w:firstLine="566"/>
        <w:jc w:val="both"/>
        <w:rPr>
          <w:rFonts w:ascii="Century Gothic" w:eastAsia="Century Gothic" w:hAnsi="Century Gothic" w:cs="Century Gothic"/>
          <w:color w:val="000000"/>
          <w:lang w:val="en-US"/>
        </w:rPr>
      </w:pPr>
      <w:r w:rsidRPr="00206075">
        <w:rPr>
          <w:rFonts w:ascii="Century Gothic" w:eastAsia="Century Gothic" w:hAnsi="Century Gothic" w:cs="Century Gothic"/>
          <w:color w:val="000000"/>
          <w:lang w:val="en-US"/>
        </w:rPr>
        <w:t>Based on this statement, the two methods can be understood as functioning in a complementary manner. The imitation method played a central role during the introductory and initial comprehension stage of movement acquisition, while the drill method operated during the consolidation and refinement stage, in which movement quality was polished through repetition. The instructor further noted that this process required considerable patience and an extended period of time; however, the results were evident across three primary aspects: (1) memorization of the movement sequence, (2) tempo accuracy, and (3) students' self-confidence when performing in front of an audience.</w:t>
      </w:r>
      <w:r w:rsidR="00F3603B">
        <w:rPr>
          <w:rFonts w:ascii="Century Gothic" w:eastAsia="Century Gothic" w:hAnsi="Century Gothic" w:cs="Century Gothic"/>
          <w:color w:val="000000"/>
          <w:lang w:val="en-US"/>
        </w:rPr>
        <w:t xml:space="preserve"> </w:t>
      </w:r>
      <w:r w:rsidR="00F3603B" w:rsidRPr="00F3603B">
        <w:rPr>
          <w:rFonts w:ascii="Century Gothic" w:eastAsia="Century Gothic" w:hAnsi="Century Gothic" w:cs="Century Gothic"/>
          <w:color w:val="000000"/>
        </w:rPr>
        <w:t>Beyond improvements in movement execution, the instructor emphasized that the learning process also aimed to cultivate values embedded within the narrative of the dance. Accordingly, the outcomes of learning were evaluated not only from a technical perspective but also from students' understanding of the dance's cultural meaning.</w:t>
      </w:r>
    </w:p>
    <w:p w14:paraId="01310A86" w14:textId="77777777" w:rsidR="00206075" w:rsidRPr="00206075" w:rsidRDefault="00206075" w:rsidP="00206075">
      <w:pPr>
        <w:pBdr>
          <w:top w:val="nil"/>
          <w:left w:val="nil"/>
          <w:bottom w:val="nil"/>
          <w:right w:val="nil"/>
          <w:between w:val="nil"/>
        </w:pBdr>
        <w:ind w:left="2268" w:firstLine="566"/>
        <w:jc w:val="both"/>
        <w:rPr>
          <w:rFonts w:ascii="Century Gothic" w:eastAsia="Century Gothic" w:hAnsi="Century Gothic" w:cs="Century Gothic"/>
          <w:color w:val="000000"/>
          <w:lang w:val="en-US"/>
        </w:rPr>
      </w:pPr>
      <w:r w:rsidRPr="00206075">
        <w:rPr>
          <w:rFonts w:ascii="Century Gothic" w:eastAsia="Century Gothic" w:hAnsi="Century Gothic" w:cs="Century Gothic"/>
          <w:color w:val="000000"/>
          <w:lang w:val="en-US"/>
        </w:rPr>
        <w:t xml:space="preserve">In addition to these technical achievements, the learning outcomes of </w:t>
      </w:r>
      <w:proofErr w:type="spellStart"/>
      <w:r w:rsidRPr="00206075">
        <w:rPr>
          <w:rFonts w:ascii="Century Gothic" w:eastAsia="Century Gothic" w:hAnsi="Century Gothic" w:cs="Century Gothic"/>
          <w:i/>
          <w:iCs/>
          <w:color w:val="000000"/>
          <w:lang w:val="en-US"/>
        </w:rPr>
        <w:t>Wanci</w:t>
      </w:r>
      <w:proofErr w:type="spellEnd"/>
      <w:r w:rsidRPr="00206075">
        <w:rPr>
          <w:rFonts w:ascii="Century Gothic" w:eastAsia="Century Gothic" w:hAnsi="Century Gothic" w:cs="Century Gothic"/>
          <w:i/>
          <w:iCs/>
          <w:color w:val="000000"/>
          <w:lang w:val="en-US"/>
        </w:rPr>
        <w:t xml:space="preserve"> </w:t>
      </w:r>
      <w:proofErr w:type="spellStart"/>
      <w:r w:rsidRPr="00206075">
        <w:rPr>
          <w:rFonts w:ascii="Century Gothic" w:eastAsia="Century Gothic" w:hAnsi="Century Gothic" w:cs="Century Gothic"/>
          <w:i/>
          <w:iCs/>
          <w:color w:val="000000"/>
          <w:lang w:val="en-US"/>
        </w:rPr>
        <w:t>Kahuripan</w:t>
      </w:r>
      <w:proofErr w:type="spellEnd"/>
      <w:r w:rsidRPr="00206075">
        <w:rPr>
          <w:rFonts w:ascii="Century Gothic" w:eastAsia="Century Gothic" w:hAnsi="Century Gothic" w:cs="Century Gothic"/>
          <w:color w:val="000000"/>
          <w:lang w:val="en-US"/>
        </w:rPr>
        <w:t xml:space="preserve"> dance were also reflected in the internalization of underlying values. The selection of this particular dance was not incidental but was deliberately aligned with the noble values intended to be instilled in students. As explained by Ibu </w:t>
      </w:r>
      <w:proofErr w:type="spellStart"/>
      <w:r w:rsidRPr="00206075">
        <w:rPr>
          <w:rFonts w:ascii="Century Gothic" w:eastAsia="Century Gothic" w:hAnsi="Century Gothic" w:cs="Century Gothic"/>
          <w:color w:val="000000"/>
          <w:lang w:val="en-US"/>
        </w:rPr>
        <w:t>Rudyana</w:t>
      </w:r>
      <w:proofErr w:type="spellEnd"/>
      <w:r w:rsidRPr="00206075">
        <w:rPr>
          <w:rFonts w:ascii="Century Gothic" w:eastAsia="Century Gothic" w:hAnsi="Century Gothic" w:cs="Century Gothic"/>
          <w:color w:val="000000"/>
          <w:lang w:val="en-US"/>
        </w:rPr>
        <w:t xml:space="preserve"> Narastiti:</w:t>
      </w:r>
    </w:p>
    <w:p w14:paraId="516D6AAE" w14:textId="77777777" w:rsidR="00206075" w:rsidRPr="00206075" w:rsidRDefault="00206075" w:rsidP="00206075">
      <w:pPr>
        <w:pBdr>
          <w:top w:val="nil"/>
          <w:left w:val="nil"/>
          <w:bottom w:val="nil"/>
          <w:right w:val="nil"/>
          <w:between w:val="nil"/>
        </w:pBdr>
        <w:ind w:left="2268" w:firstLine="566"/>
        <w:jc w:val="both"/>
        <w:rPr>
          <w:rFonts w:ascii="Century Gothic" w:eastAsia="Century Gothic" w:hAnsi="Century Gothic" w:cs="Century Gothic"/>
          <w:color w:val="000000"/>
          <w:lang w:val="en-US"/>
        </w:rPr>
      </w:pPr>
      <w:r w:rsidRPr="00206075">
        <w:rPr>
          <w:rFonts w:ascii="Century Gothic" w:eastAsia="Century Gothic" w:hAnsi="Century Gothic" w:cs="Century Gothic"/>
          <w:color w:val="000000"/>
          <w:lang w:val="en-US"/>
        </w:rPr>
        <w:t>"This dance portrays the story of Mbah Semi, a legendary figure recognized as an important contributor to the continuity of dance, particularly in Banyuwangi. Throughout his life, he faced numerous challenges and hardships, yet he never gave up. His steadfastness, resilience, unyielding spirit, and perseverance are clearly reflected in the storyline and expressive movements of this dance... These values are highly relevant for students to emulate."</w:t>
      </w:r>
    </w:p>
    <w:p w14:paraId="6DA2714C" w14:textId="77777777" w:rsidR="00206075" w:rsidRDefault="00206075" w:rsidP="00206075">
      <w:pPr>
        <w:pBdr>
          <w:top w:val="nil"/>
          <w:left w:val="nil"/>
          <w:bottom w:val="nil"/>
          <w:right w:val="nil"/>
          <w:between w:val="nil"/>
        </w:pBdr>
        <w:ind w:left="2268" w:firstLine="566"/>
        <w:jc w:val="both"/>
        <w:rPr>
          <w:rFonts w:ascii="Century Gothic" w:eastAsia="Century Gothic" w:hAnsi="Century Gothic" w:cs="Century Gothic"/>
          <w:color w:val="000000"/>
          <w:lang w:val="en-US"/>
        </w:rPr>
      </w:pPr>
      <w:r w:rsidRPr="00206075">
        <w:rPr>
          <w:rFonts w:ascii="Century Gothic" w:eastAsia="Century Gothic" w:hAnsi="Century Gothic" w:cs="Century Gothic"/>
          <w:color w:val="000000"/>
          <w:lang w:val="en-US"/>
        </w:rPr>
        <w:t xml:space="preserve">Accordingly, the success of learning </w:t>
      </w:r>
      <w:proofErr w:type="spellStart"/>
      <w:r w:rsidRPr="00206075">
        <w:rPr>
          <w:rFonts w:ascii="Century Gothic" w:eastAsia="Century Gothic" w:hAnsi="Century Gothic" w:cs="Century Gothic"/>
          <w:i/>
          <w:iCs/>
          <w:color w:val="000000"/>
          <w:lang w:val="en-US"/>
        </w:rPr>
        <w:t>Wanci</w:t>
      </w:r>
      <w:proofErr w:type="spellEnd"/>
      <w:r w:rsidRPr="00206075">
        <w:rPr>
          <w:rFonts w:ascii="Century Gothic" w:eastAsia="Century Gothic" w:hAnsi="Century Gothic" w:cs="Century Gothic"/>
          <w:i/>
          <w:iCs/>
          <w:color w:val="000000"/>
          <w:lang w:val="en-US"/>
        </w:rPr>
        <w:t xml:space="preserve"> </w:t>
      </w:r>
      <w:proofErr w:type="spellStart"/>
      <w:r w:rsidRPr="00206075">
        <w:rPr>
          <w:rFonts w:ascii="Century Gothic" w:eastAsia="Century Gothic" w:hAnsi="Century Gothic" w:cs="Century Gothic"/>
          <w:i/>
          <w:iCs/>
          <w:color w:val="000000"/>
          <w:lang w:val="en-US"/>
        </w:rPr>
        <w:t>Kahuripan</w:t>
      </w:r>
      <w:proofErr w:type="spellEnd"/>
      <w:r w:rsidRPr="00206075">
        <w:rPr>
          <w:rFonts w:ascii="Century Gothic" w:eastAsia="Century Gothic" w:hAnsi="Century Gothic" w:cs="Century Gothic"/>
          <w:color w:val="000000"/>
          <w:lang w:val="en-US"/>
        </w:rPr>
        <w:t xml:space="preserve"> dance was measured not only by students' technical mastery of movement (</w:t>
      </w:r>
      <w:proofErr w:type="spellStart"/>
      <w:r w:rsidRPr="00206075">
        <w:rPr>
          <w:rFonts w:ascii="Century Gothic" w:eastAsia="Century Gothic" w:hAnsi="Century Gothic" w:cs="Century Gothic"/>
          <w:i/>
          <w:iCs/>
          <w:color w:val="000000"/>
          <w:lang w:val="en-US"/>
        </w:rPr>
        <w:t>wiraga</w:t>
      </w:r>
      <w:proofErr w:type="spellEnd"/>
      <w:r w:rsidRPr="00206075">
        <w:rPr>
          <w:rFonts w:ascii="Century Gothic" w:eastAsia="Century Gothic" w:hAnsi="Century Gothic" w:cs="Century Gothic"/>
          <w:color w:val="000000"/>
          <w:lang w:val="en-US"/>
        </w:rPr>
        <w:t>), but also by the extent to which they were able to comprehend and reflect upon the meaning and moral message (</w:t>
      </w:r>
      <w:proofErr w:type="spellStart"/>
      <w:r w:rsidRPr="00206075">
        <w:rPr>
          <w:rFonts w:ascii="Century Gothic" w:eastAsia="Century Gothic" w:hAnsi="Century Gothic" w:cs="Century Gothic"/>
          <w:i/>
          <w:iCs/>
          <w:color w:val="000000"/>
          <w:lang w:val="en-US"/>
        </w:rPr>
        <w:t>wirasa</w:t>
      </w:r>
      <w:proofErr w:type="spellEnd"/>
      <w:r w:rsidRPr="00206075">
        <w:rPr>
          <w:rFonts w:ascii="Century Gothic" w:eastAsia="Century Gothic" w:hAnsi="Century Gothic" w:cs="Century Gothic"/>
          <w:color w:val="000000"/>
          <w:lang w:val="en-US"/>
        </w:rPr>
        <w:t>) embedded within the narrative of the figure portrayed in the dance.</w:t>
      </w:r>
    </w:p>
    <w:p w14:paraId="6F27FF44" w14:textId="6C1EAC91" w:rsidR="009828BB" w:rsidRPr="00206075" w:rsidRDefault="009828BB" w:rsidP="00206075">
      <w:pPr>
        <w:pBdr>
          <w:top w:val="nil"/>
          <w:left w:val="nil"/>
          <w:bottom w:val="nil"/>
          <w:right w:val="nil"/>
          <w:between w:val="nil"/>
        </w:pBdr>
        <w:ind w:left="2268" w:firstLine="566"/>
        <w:jc w:val="both"/>
        <w:rPr>
          <w:rFonts w:ascii="Century Gothic" w:eastAsia="Century Gothic" w:hAnsi="Century Gothic" w:cs="Century Gothic"/>
          <w:color w:val="000000"/>
          <w:lang w:val="en-US"/>
        </w:rPr>
      </w:pPr>
      <w:r w:rsidRPr="009828BB">
        <w:rPr>
          <w:rFonts w:ascii="Century Gothic" w:eastAsia="Century Gothic" w:hAnsi="Century Gothic" w:cs="Century Gothic"/>
          <w:color w:val="000000"/>
        </w:rPr>
        <w:t>These findings suggest that successful traditional dance learning involves a gradual progression from cognitive understanding toward embodied performance. Students first constructed an understanding of movement through observation before refining technical execution through repetitive practice. This progression reflects the complementary nature of imitation and drill in facilitating sustainable skill acquisition.</w:t>
      </w:r>
    </w:p>
    <w:p w14:paraId="0BE15EFB" w14:textId="77777777" w:rsidR="00206075" w:rsidRPr="00206075" w:rsidRDefault="00206075" w:rsidP="00206075">
      <w:pPr>
        <w:pBdr>
          <w:top w:val="nil"/>
          <w:left w:val="nil"/>
          <w:bottom w:val="nil"/>
          <w:right w:val="nil"/>
          <w:between w:val="nil"/>
        </w:pBdr>
        <w:ind w:left="2268" w:hanging="18"/>
        <w:jc w:val="both"/>
        <w:rPr>
          <w:rFonts w:ascii="Century Gothic" w:eastAsia="Century Gothic" w:hAnsi="Century Gothic" w:cs="Century Gothic"/>
          <w:b/>
          <w:bCs/>
          <w:i/>
          <w:iCs/>
          <w:color w:val="000000"/>
          <w:lang w:val="en-US"/>
        </w:rPr>
      </w:pPr>
      <w:r w:rsidRPr="00206075">
        <w:rPr>
          <w:rFonts w:ascii="Century Gothic" w:eastAsia="Century Gothic" w:hAnsi="Century Gothic" w:cs="Century Gothic"/>
          <w:b/>
          <w:bCs/>
          <w:i/>
          <w:iCs/>
          <w:color w:val="000000"/>
          <w:lang w:val="en-US"/>
        </w:rPr>
        <w:t>3.1.3 Student Assessment</w:t>
      </w:r>
    </w:p>
    <w:p w14:paraId="60058C16" w14:textId="77777777" w:rsidR="00206075" w:rsidRDefault="00206075" w:rsidP="007B1517">
      <w:pPr>
        <w:pBdr>
          <w:top w:val="nil"/>
          <w:left w:val="nil"/>
          <w:bottom w:val="nil"/>
          <w:right w:val="nil"/>
          <w:between w:val="nil"/>
        </w:pBdr>
        <w:spacing w:before="240" w:after="240"/>
        <w:ind w:left="2268" w:firstLine="566"/>
        <w:jc w:val="both"/>
        <w:rPr>
          <w:rFonts w:ascii="Century Gothic" w:eastAsia="Century Gothic" w:hAnsi="Century Gothic" w:cs="Century Gothic"/>
          <w:color w:val="000000"/>
          <w:lang w:val="en-US"/>
        </w:rPr>
      </w:pPr>
      <w:r w:rsidRPr="00206075">
        <w:rPr>
          <w:rFonts w:ascii="Century Gothic" w:eastAsia="Century Gothic" w:hAnsi="Century Gothic" w:cs="Century Gothic"/>
          <w:color w:val="000000"/>
          <w:lang w:val="en-US"/>
        </w:rPr>
        <w:t xml:space="preserve">Student assessment within the </w:t>
      </w:r>
      <w:proofErr w:type="spellStart"/>
      <w:r w:rsidRPr="00206075">
        <w:rPr>
          <w:rFonts w:ascii="Century Gothic" w:eastAsia="Century Gothic" w:hAnsi="Century Gothic" w:cs="Century Gothic"/>
          <w:i/>
          <w:iCs/>
          <w:color w:val="000000"/>
          <w:lang w:val="en-US"/>
        </w:rPr>
        <w:t>Wanci</w:t>
      </w:r>
      <w:proofErr w:type="spellEnd"/>
      <w:r w:rsidRPr="00206075">
        <w:rPr>
          <w:rFonts w:ascii="Century Gothic" w:eastAsia="Century Gothic" w:hAnsi="Century Gothic" w:cs="Century Gothic"/>
          <w:i/>
          <w:iCs/>
          <w:color w:val="000000"/>
          <w:lang w:val="en-US"/>
        </w:rPr>
        <w:t xml:space="preserve"> </w:t>
      </w:r>
      <w:proofErr w:type="spellStart"/>
      <w:r w:rsidRPr="00206075">
        <w:rPr>
          <w:rFonts w:ascii="Century Gothic" w:eastAsia="Century Gothic" w:hAnsi="Century Gothic" w:cs="Century Gothic"/>
          <w:i/>
          <w:iCs/>
          <w:color w:val="000000"/>
          <w:lang w:val="en-US"/>
        </w:rPr>
        <w:t>Kahuripan</w:t>
      </w:r>
      <w:proofErr w:type="spellEnd"/>
      <w:r w:rsidRPr="00206075">
        <w:rPr>
          <w:rFonts w:ascii="Century Gothic" w:eastAsia="Century Gothic" w:hAnsi="Century Gothic" w:cs="Century Gothic"/>
          <w:color w:val="000000"/>
          <w:lang w:val="en-US"/>
        </w:rPr>
        <w:t xml:space="preserve"> dance learning program was conducted by the instructor based on three primary indicators: accuracy of movement memorization, tempo alignment with musical accompaniment, and self-confidence during performance. These three indicators represent the direct outcomes of applying the imitation method during the initial learning stage and the drill method during the consolidation stage. Students who initially could only replicate basic movements gradually developed the ability to </w:t>
      </w:r>
      <w:r w:rsidRPr="00206075">
        <w:rPr>
          <w:rFonts w:ascii="Century Gothic" w:eastAsia="Century Gothic" w:hAnsi="Century Gothic" w:cs="Century Gothic"/>
          <w:color w:val="000000"/>
          <w:lang w:val="en-US"/>
        </w:rPr>
        <w:lastRenderedPageBreak/>
        <w:t>perform the complete movement sequence with more fluid and better-coordinated body coordination. This growing self-confidence subsequently contributed to students' readiness to perform in various settings beyond the school environment, as further described in the following section.</w:t>
      </w:r>
    </w:p>
    <w:p w14:paraId="7969A349" w14:textId="1B831011" w:rsidR="009828BB" w:rsidRDefault="009828BB" w:rsidP="007B1517">
      <w:pPr>
        <w:pBdr>
          <w:top w:val="nil"/>
          <w:left w:val="nil"/>
          <w:bottom w:val="nil"/>
          <w:right w:val="nil"/>
          <w:between w:val="nil"/>
        </w:pBdr>
        <w:spacing w:before="240" w:after="240"/>
        <w:ind w:left="2268" w:firstLine="566"/>
        <w:jc w:val="both"/>
        <w:rPr>
          <w:rFonts w:ascii="Century Gothic" w:eastAsia="Century Gothic" w:hAnsi="Century Gothic" w:cs="Century Gothic"/>
          <w:color w:val="000000"/>
          <w:lang w:val="en-US"/>
        </w:rPr>
      </w:pPr>
      <w:r w:rsidRPr="009828BB">
        <w:rPr>
          <w:rFonts w:ascii="Century Gothic" w:eastAsia="Century Gothic" w:hAnsi="Century Gothic" w:cs="Century Gothic"/>
          <w:color w:val="000000"/>
        </w:rPr>
        <w:t>Assessment was not limited to the final performance but was embedded throughout the rehearsal process. Continuous monitoring enabled the instructor to identify individual learning difficulties and provide immediate corrective feedback. Consequently, assessment functioned not merely as a measurement tool but also as an instructional strategy supporting students' continuous improvement.</w:t>
      </w:r>
    </w:p>
    <w:p w14:paraId="03C88E1A" w14:textId="77777777" w:rsidR="007B1517" w:rsidRPr="007B1517" w:rsidRDefault="007B1517" w:rsidP="007B1517">
      <w:pPr>
        <w:pBdr>
          <w:top w:val="nil"/>
          <w:left w:val="nil"/>
          <w:bottom w:val="nil"/>
          <w:right w:val="nil"/>
          <w:between w:val="nil"/>
        </w:pBdr>
        <w:spacing w:before="240" w:after="240"/>
        <w:jc w:val="both"/>
        <w:rPr>
          <w:rFonts w:ascii="Century Gothic" w:eastAsia="Century Gothic" w:hAnsi="Century Gothic" w:cs="Century Gothic"/>
          <w:color w:val="000000"/>
          <w:sz w:val="16"/>
          <w:szCs w:val="16"/>
          <w:lang w:val="en-US"/>
        </w:rPr>
      </w:pPr>
      <w:r w:rsidRPr="007B1517">
        <w:rPr>
          <w:rFonts w:ascii="Century Gothic" w:eastAsia="Century Gothic" w:hAnsi="Century Gothic" w:cs="Century Gothic"/>
          <w:b/>
          <w:bCs/>
          <w:color w:val="000000"/>
          <w:sz w:val="16"/>
          <w:szCs w:val="16"/>
          <w:lang w:val="en-US"/>
        </w:rPr>
        <w:t>Table 1.</w:t>
      </w:r>
      <w:r w:rsidRPr="007B1517">
        <w:rPr>
          <w:rFonts w:ascii="Century Gothic" w:eastAsia="Century Gothic" w:hAnsi="Century Gothic" w:cs="Century Gothic"/>
          <w:color w:val="000000"/>
          <w:sz w:val="16"/>
          <w:szCs w:val="16"/>
          <w:lang w:val="en-US"/>
        </w:rPr>
        <w:t xml:space="preserve"> Student Assessment Indicators in </w:t>
      </w:r>
      <w:proofErr w:type="spellStart"/>
      <w:r w:rsidRPr="007B1517">
        <w:rPr>
          <w:rFonts w:ascii="Century Gothic" w:eastAsia="Century Gothic" w:hAnsi="Century Gothic" w:cs="Century Gothic"/>
          <w:i/>
          <w:iCs/>
          <w:color w:val="000000"/>
          <w:sz w:val="16"/>
          <w:szCs w:val="16"/>
          <w:lang w:val="en-US"/>
        </w:rPr>
        <w:t>Wanci</w:t>
      </w:r>
      <w:proofErr w:type="spellEnd"/>
      <w:r w:rsidRPr="007B1517">
        <w:rPr>
          <w:rFonts w:ascii="Century Gothic" w:eastAsia="Century Gothic" w:hAnsi="Century Gothic" w:cs="Century Gothic"/>
          <w:i/>
          <w:iCs/>
          <w:color w:val="000000"/>
          <w:sz w:val="16"/>
          <w:szCs w:val="16"/>
          <w:lang w:val="en-US"/>
        </w:rPr>
        <w:t xml:space="preserve"> </w:t>
      </w:r>
      <w:proofErr w:type="spellStart"/>
      <w:r w:rsidRPr="007B1517">
        <w:rPr>
          <w:rFonts w:ascii="Century Gothic" w:eastAsia="Century Gothic" w:hAnsi="Century Gothic" w:cs="Century Gothic"/>
          <w:i/>
          <w:iCs/>
          <w:color w:val="000000"/>
          <w:sz w:val="16"/>
          <w:szCs w:val="16"/>
          <w:lang w:val="en-US"/>
        </w:rPr>
        <w:t>Kahuripan</w:t>
      </w:r>
      <w:proofErr w:type="spellEnd"/>
      <w:r w:rsidRPr="007B1517">
        <w:rPr>
          <w:rFonts w:ascii="Century Gothic" w:eastAsia="Century Gothic" w:hAnsi="Century Gothic" w:cs="Century Gothic"/>
          <w:color w:val="000000"/>
          <w:sz w:val="16"/>
          <w:szCs w:val="16"/>
          <w:lang w:val="en-US"/>
        </w:rPr>
        <w:t xml:space="preserve"> Dance Learning</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51"/>
        <w:gridCol w:w="3609"/>
        <w:gridCol w:w="5067"/>
      </w:tblGrid>
      <w:tr w:rsidR="007B1517" w:rsidRPr="007B1517" w14:paraId="016AAF7C" w14:textId="77777777" w:rsidTr="007B1517">
        <w:trPr>
          <w:tblHeader/>
          <w:tblCellSpacing w:w="15" w:type="dxa"/>
        </w:trPr>
        <w:tc>
          <w:tcPr>
            <w:tcW w:w="0" w:type="auto"/>
            <w:tcBorders>
              <w:top w:val="single" w:sz="4" w:space="0" w:color="auto"/>
              <w:bottom w:val="single" w:sz="4" w:space="0" w:color="auto"/>
            </w:tcBorders>
            <w:vAlign w:val="center"/>
            <w:hideMark/>
          </w:tcPr>
          <w:p w14:paraId="4000209C" w14:textId="77777777" w:rsidR="007B1517" w:rsidRPr="007B1517" w:rsidRDefault="007B1517" w:rsidP="007B1517">
            <w:pPr>
              <w:pBdr>
                <w:top w:val="nil"/>
                <w:left w:val="nil"/>
                <w:bottom w:val="nil"/>
                <w:right w:val="nil"/>
                <w:between w:val="nil"/>
              </w:pBdr>
              <w:jc w:val="both"/>
              <w:rPr>
                <w:rFonts w:ascii="Century Gothic" w:eastAsia="Century Gothic" w:hAnsi="Century Gothic" w:cs="Century Gothic"/>
                <w:b/>
                <w:bCs/>
                <w:color w:val="000000"/>
                <w:lang w:val="en-US"/>
              </w:rPr>
            </w:pPr>
            <w:r w:rsidRPr="007B1517">
              <w:rPr>
                <w:rFonts w:ascii="Century Gothic" w:eastAsia="Century Gothic" w:hAnsi="Century Gothic" w:cs="Century Gothic"/>
                <w:b/>
                <w:bCs/>
                <w:color w:val="000000"/>
                <w:lang w:val="en-US"/>
              </w:rPr>
              <w:t>No</w:t>
            </w:r>
          </w:p>
        </w:tc>
        <w:tc>
          <w:tcPr>
            <w:tcW w:w="3579" w:type="dxa"/>
            <w:tcBorders>
              <w:top w:val="single" w:sz="4" w:space="0" w:color="auto"/>
              <w:bottom w:val="single" w:sz="4" w:space="0" w:color="auto"/>
            </w:tcBorders>
            <w:vAlign w:val="center"/>
            <w:hideMark/>
          </w:tcPr>
          <w:p w14:paraId="5FEFDE1B" w14:textId="77777777" w:rsidR="007B1517" w:rsidRPr="007B1517" w:rsidRDefault="007B1517" w:rsidP="007B1517">
            <w:pPr>
              <w:pBdr>
                <w:top w:val="nil"/>
                <w:left w:val="nil"/>
                <w:bottom w:val="nil"/>
                <w:right w:val="nil"/>
                <w:between w:val="nil"/>
              </w:pBdr>
              <w:jc w:val="both"/>
              <w:rPr>
                <w:rFonts w:ascii="Century Gothic" w:eastAsia="Century Gothic" w:hAnsi="Century Gothic" w:cs="Century Gothic"/>
                <w:b/>
                <w:bCs/>
                <w:color w:val="000000"/>
                <w:lang w:val="en-US"/>
              </w:rPr>
            </w:pPr>
            <w:r w:rsidRPr="007B1517">
              <w:rPr>
                <w:rFonts w:ascii="Century Gothic" w:eastAsia="Century Gothic" w:hAnsi="Century Gothic" w:cs="Century Gothic"/>
                <w:b/>
                <w:bCs/>
                <w:color w:val="000000"/>
                <w:lang w:val="en-US"/>
              </w:rPr>
              <w:t>Assessment Indicator</w:t>
            </w:r>
          </w:p>
        </w:tc>
        <w:tc>
          <w:tcPr>
            <w:tcW w:w="5022" w:type="dxa"/>
            <w:tcBorders>
              <w:top w:val="single" w:sz="4" w:space="0" w:color="auto"/>
              <w:bottom w:val="single" w:sz="4" w:space="0" w:color="auto"/>
            </w:tcBorders>
            <w:vAlign w:val="center"/>
            <w:hideMark/>
          </w:tcPr>
          <w:p w14:paraId="10289F0F" w14:textId="77777777" w:rsidR="007B1517" w:rsidRPr="007B1517" w:rsidRDefault="007B1517" w:rsidP="007B1517">
            <w:pPr>
              <w:pBdr>
                <w:top w:val="nil"/>
                <w:left w:val="nil"/>
                <w:bottom w:val="nil"/>
                <w:right w:val="nil"/>
                <w:between w:val="nil"/>
              </w:pBdr>
              <w:jc w:val="both"/>
              <w:rPr>
                <w:rFonts w:ascii="Century Gothic" w:eastAsia="Century Gothic" w:hAnsi="Century Gothic" w:cs="Century Gothic"/>
                <w:b/>
                <w:bCs/>
                <w:color w:val="000000"/>
                <w:lang w:val="en-US"/>
              </w:rPr>
            </w:pPr>
            <w:r w:rsidRPr="007B1517">
              <w:rPr>
                <w:rFonts w:ascii="Century Gothic" w:eastAsia="Century Gothic" w:hAnsi="Century Gothic" w:cs="Century Gothic"/>
                <w:b/>
                <w:bCs/>
                <w:color w:val="000000"/>
                <w:lang w:val="en-US"/>
              </w:rPr>
              <w:t>Description</w:t>
            </w:r>
          </w:p>
        </w:tc>
      </w:tr>
      <w:tr w:rsidR="007B1517" w:rsidRPr="007B1517" w14:paraId="6B7A6268" w14:textId="77777777" w:rsidTr="007B1517">
        <w:trPr>
          <w:tblCellSpacing w:w="15" w:type="dxa"/>
        </w:trPr>
        <w:tc>
          <w:tcPr>
            <w:tcW w:w="0" w:type="auto"/>
            <w:vAlign w:val="center"/>
            <w:hideMark/>
          </w:tcPr>
          <w:p w14:paraId="74DAE1E3" w14:textId="77777777" w:rsidR="007B1517" w:rsidRPr="007B1517" w:rsidRDefault="007B1517" w:rsidP="007B1517">
            <w:pPr>
              <w:pBdr>
                <w:top w:val="nil"/>
                <w:left w:val="nil"/>
                <w:bottom w:val="nil"/>
                <w:right w:val="nil"/>
                <w:between w:val="nil"/>
              </w:pBdr>
              <w:jc w:val="both"/>
              <w:rPr>
                <w:rFonts w:ascii="Century Gothic" w:eastAsia="Century Gothic" w:hAnsi="Century Gothic" w:cs="Century Gothic"/>
                <w:color w:val="000000"/>
                <w:lang w:val="en-US"/>
              </w:rPr>
            </w:pPr>
            <w:r w:rsidRPr="007B1517">
              <w:rPr>
                <w:rFonts w:ascii="Century Gothic" w:eastAsia="Century Gothic" w:hAnsi="Century Gothic" w:cs="Century Gothic"/>
                <w:color w:val="000000"/>
                <w:lang w:val="en-US"/>
              </w:rPr>
              <w:t>1</w:t>
            </w:r>
          </w:p>
        </w:tc>
        <w:tc>
          <w:tcPr>
            <w:tcW w:w="3579" w:type="dxa"/>
            <w:vAlign w:val="center"/>
            <w:hideMark/>
          </w:tcPr>
          <w:p w14:paraId="0C18CA5D" w14:textId="77777777" w:rsidR="007B1517" w:rsidRPr="007B1517" w:rsidRDefault="007B1517" w:rsidP="007B1517">
            <w:pPr>
              <w:pBdr>
                <w:top w:val="nil"/>
                <w:left w:val="nil"/>
                <w:bottom w:val="nil"/>
                <w:right w:val="nil"/>
                <w:between w:val="nil"/>
              </w:pBdr>
              <w:jc w:val="both"/>
              <w:rPr>
                <w:rFonts w:ascii="Century Gothic" w:eastAsia="Century Gothic" w:hAnsi="Century Gothic" w:cs="Century Gothic"/>
                <w:color w:val="000000"/>
                <w:lang w:val="en-US"/>
              </w:rPr>
            </w:pPr>
            <w:r w:rsidRPr="007B1517">
              <w:rPr>
                <w:rFonts w:ascii="Century Gothic" w:eastAsia="Century Gothic" w:hAnsi="Century Gothic" w:cs="Century Gothic"/>
                <w:color w:val="000000"/>
                <w:lang w:val="en-US"/>
              </w:rPr>
              <w:t>Movement memorization accuracy</w:t>
            </w:r>
          </w:p>
        </w:tc>
        <w:tc>
          <w:tcPr>
            <w:tcW w:w="5022" w:type="dxa"/>
            <w:vAlign w:val="center"/>
            <w:hideMark/>
          </w:tcPr>
          <w:p w14:paraId="2E180B68" w14:textId="77777777" w:rsidR="007B1517" w:rsidRPr="007B1517" w:rsidRDefault="007B1517" w:rsidP="007B1517">
            <w:pPr>
              <w:pBdr>
                <w:top w:val="nil"/>
                <w:left w:val="nil"/>
                <w:bottom w:val="nil"/>
                <w:right w:val="nil"/>
                <w:between w:val="nil"/>
              </w:pBdr>
              <w:jc w:val="both"/>
              <w:rPr>
                <w:rFonts w:ascii="Century Gothic" w:eastAsia="Century Gothic" w:hAnsi="Century Gothic" w:cs="Century Gothic"/>
                <w:color w:val="000000"/>
                <w:lang w:val="en-US"/>
              </w:rPr>
            </w:pPr>
            <w:r w:rsidRPr="007B1517">
              <w:rPr>
                <w:rFonts w:ascii="Century Gothic" w:eastAsia="Century Gothic" w:hAnsi="Century Gothic" w:cs="Century Gothic"/>
                <w:color w:val="000000"/>
                <w:lang w:val="en-US"/>
              </w:rPr>
              <w:t>Precision in recalling and reproducing the taught movement sequence</w:t>
            </w:r>
          </w:p>
        </w:tc>
      </w:tr>
      <w:tr w:rsidR="007B1517" w:rsidRPr="007B1517" w14:paraId="6307E040" w14:textId="77777777" w:rsidTr="007B1517">
        <w:trPr>
          <w:tblCellSpacing w:w="15" w:type="dxa"/>
        </w:trPr>
        <w:tc>
          <w:tcPr>
            <w:tcW w:w="0" w:type="auto"/>
            <w:vAlign w:val="center"/>
            <w:hideMark/>
          </w:tcPr>
          <w:p w14:paraId="511E1083" w14:textId="77777777" w:rsidR="007B1517" w:rsidRPr="007B1517" w:rsidRDefault="007B1517" w:rsidP="007B1517">
            <w:pPr>
              <w:pBdr>
                <w:top w:val="nil"/>
                <w:left w:val="nil"/>
                <w:bottom w:val="nil"/>
                <w:right w:val="nil"/>
                <w:between w:val="nil"/>
              </w:pBdr>
              <w:jc w:val="both"/>
              <w:rPr>
                <w:rFonts w:ascii="Century Gothic" w:eastAsia="Century Gothic" w:hAnsi="Century Gothic" w:cs="Century Gothic"/>
                <w:color w:val="000000"/>
                <w:lang w:val="en-US"/>
              </w:rPr>
            </w:pPr>
            <w:r w:rsidRPr="007B1517">
              <w:rPr>
                <w:rFonts w:ascii="Century Gothic" w:eastAsia="Century Gothic" w:hAnsi="Century Gothic" w:cs="Century Gothic"/>
                <w:color w:val="000000"/>
                <w:lang w:val="en-US"/>
              </w:rPr>
              <w:t>2</w:t>
            </w:r>
          </w:p>
        </w:tc>
        <w:tc>
          <w:tcPr>
            <w:tcW w:w="3579" w:type="dxa"/>
            <w:vAlign w:val="center"/>
            <w:hideMark/>
          </w:tcPr>
          <w:p w14:paraId="096C5E9D" w14:textId="77777777" w:rsidR="007B1517" w:rsidRPr="007B1517" w:rsidRDefault="007B1517" w:rsidP="007B1517">
            <w:pPr>
              <w:pBdr>
                <w:top w:val="nil"/>
                <w:left w:val="nil"/>
                <w:bottom w:val="nil"/>
                <w:right w:val="nil"/>
                <w:between w:val="nil"/>
              </w:pBdr>
              <w:jc w:val="both"/>
              <w:rPr>
                <w:rFonts w:ascii="Century Gothic" w:eastAsia="Century Gothic" w:hAnsi="Century Gothic" w:cs="Century Gothic"/>
                <w:color w:val="000000"/>
                <w:lang w:val="en-US"/>
              </w:rPr>
            </w:pPr>
            <w:r w:rsidRPr="007B1517">
              <w:rPr>
                <w:rFonts w:ascii="Century Gothic" w:eastAsia="Century Gothic" w:hAnsi="Century Gothic" w:cs="Century Gothic"/>
                <w:color w:val="000000"/>
                <w:lang w:val="en-US"/>
              </w:rPr>
              <w:t>Tempo alignment with music</w:t>
            </w:r>
          </w:p>
        </w:tc>
        <w:tc>
          <w:tcPr>
            <w:tcW w:w="5022" w:type="dxa"/>
            <w:vAlign w:val="center"/>
            <w:hideMark/>
          </w:tcPr>
          <w:p w14:paraId="1D766B87" w14:textId="77777777" w:rsidR="007B1517" w:rsidRPr="007B1517" w:rsidRDefault="007B1517" w:rsidP="007B1517">
            <w:pPr>
              <w:pBdr>
                <w:top w:val="nil"/>
                <w:left w:val="nil"/>
                <w:bottom w:val="nil"/>
                <w:right w:val="nil"/>
                <w:between w:val="nil"/>
              </w:pBdr>
              <w:jc w:val="both"/>
              <w:rPr>
                <w:rFonts w:ascii="Century Gothic" w:eastAsia="Century Gothic" w:hAnsi="Century Gothic" w:cs="Century Gothic"/>
                <w:color w:val="000000"/>
                <w:lang w:val="en-US"/>
              </w:rPr>
            </w:pPr>
            <w:r w:rsidRPr="007B1517">
              <w:rPr>
                <w:rFonts w:ascii="Century Gothic" w:eastAsia="Century Gothic" w:hAnsi="Century Gothic" w:cs="Century Gothic"/>
                <w:color w:val="000000"/>
                <w:lang w:val="en-US"/>
              </w:rPr>
              <w:t>Consistency between movement rhythm and musical accompaniment</w:t>
            </w:r>
          </w:p>
        </w:tc>
      </w:tr>
      <w:tr w:rsidR="007B1517" w:rsidRPr="007B1517" w14:paraId="0195EDAF" w14:textId="77777777" w:rsidTr="007B1517">
        <w:trPr>
          <w:tblCellSpacing w:w="15" w:type="dxa"/>
        </w:trPr>
        <w:tc>
          <w:tcPr>
            <w:tcW w:w="0" w:type="auto"/>
            <w:tcBorders>
              <w:bottom w:val="single" w:sz="4" w:space="0" w:color="auto"/>
            </w:tcBorders>
            <w:vAlign w:val="center"/>
            <w:hideMark/>
          </w:tcPr>
          <w:p w14:paraId="4032D8A8" w14:textId="77777777" w:rsidR="007B1517" w:rsidRPr="007B1517" w:rsidRDefault="007B1517" w:rsidP="007B1517">
            <w:pPr>
              <w:pBdr>
                <w:top w:val="nil"/>
                <w:left w:val="nil"/>
                <w:bottom w:val="nil"/>
                <w:right w:val="nil"/>
                <w:between w:val="nil"/>
              </w:pBdr>
              <w:jc w:val="both"/>
              <w:rPr>
                <w:rFonts w:ascii="Century Gothic" w:eastAsia="Century Gothic" w:hAnsi="Century Gothic" w:cs="Century Gothic"/>
                <w:color w:val="000000"/>
                <w:lang w:val="en-US"/>
              </w:rPr>
            </w:pPr>
            <w:r w:rsidRPr="007B1517">
              <w:rPr>
                <w:rFonts w:ascii="Century Gothic" w:eastAsia="Century Gothic" w:hAnsi="Century Gothic" w:cs="Century Gothic"/>
                <w:color w:val="000000"/>
                <w:lang w:val="en-US"/>
              </w:rPr>
              <w:t>3</w:t>
            </w:r>
          </w:p>
        </w:tc>
        <w:tc>
          <w:tcPr>
            <w:tcW w:w="3579" w:type="dxa"/>
            <w:tcBorders>
              <w:bottom w:val="single" w:sz="4" w:space="0" w:color="auto"/>
            </w:tcBorders>
            <w:vAlign w:val="center"/>
            <w:hideMark/>
          </w:tcPr>
          <w:p w14:paraId="79AE83F6" w14:textId="77777777" w:rsidR="007B1517" w:rsidRPr="007B1517" w:rsidRDefault="007B1517" w:rsidP="007B1517">
            <w:pPr>
              <w:pBdr>
                <w:top w:val="nil"/>
                <w:left w:val="nil"/>
                <w:bottom w:val="nil"/>
                <w:right w:val="nil"/>
                <w:between w:val="nil"/>
              </w:pBdr>
              <w:jc w:val="both"/>
              <w:rPr>
                <w:rFonts w:ascii="Century Gothic" w:eastAsia="Century Gothic" w:hAnsi="Century Gothic" w:cs="Century Gothic"/>
                <w:color w:val="000000"/>
                <w:lang w:val="en-US"/>
              </w:rPr>
            </w:pPr>
            <w:r w:rsidRPr="007B1517">
              <w:rPr>
                <w:rFonts w:ascii="Century Gothic" w:eastAsia="Century Gothic" w:hAnsi="Century Gothic" w:cs="Century Gothic"/>
                <w:color w:val="000000"/>
                <w:lang w:val="en-US"/>
              </w:rPr>
              <w:t>Self-confidence in performance</w:t>
            </w:r>
          </w:p>
        </w:tc>
        <w:tc>
          <w:tcPr>
            <w:tcW w:w="5022" w:type="dxa"/>
            <w:tcBorders>
              <w:bottom w:val="single" w:sz="4" w:space="0" w:color="auto"/>
            </w:tcBorders>
            <w:vAlign w:val="center"/>
            <w:hideMark/>
          </w:tcPr>
          <w:p w14:paraId="370979E4" w14:textId="77777777" w:rsidR="007B1517" w:rsidRPr="007B1517" w:rsidRDefault="007B1517" w:rsidP="007B1517">
            <w:pPr>
              <w:pBdr>
                <w:top w:val="nil"/>
                <w:left w:val="nil"/>
                <w:bottom w:val="nil"/>
                <w:right w:val="nil"/>
                <w:between w:val="nil"/>
              </w:pBdr>
              <w:jc w:val="both"/>
              <w:rPr>
                <w:rFonts w:ascii="Century Gothic" w:eastAsia="Century Gothic" w:hAnsi="Century Gothic" w:cs="Century Gothic"/>
                <w:color w:val="000000"/>
                <w:lang w:val="en-US"/>
              </w:rPr>
            </w:pPr>
            <w:r w:rsidRPr="007B1517">
              <w:rPr>
                <w:rFonts w:ascii="Century Gothic" w:eastAsia="Century Gothic" w:hAnsi="Century Gothic" w:cs="Century Gothic"/>
                <w:color w:val="000000"/>
                <w:lang w:val="en-US"/>
              </w:rPr>
              <w:t>Students' readiness and composure when performing in front of an audience</w:t>
            </w:r>
          </w:p>
        </w:tc>
      </w:tr>
    </w:tbl>
    <w:p w14:paraId="6FCBFB7C" w14:textId="77777777" w:rsidR="007B1517" w:rsidRPr="007B1517" w:rsidRDefault="007B1517" w:rsidP="007B1517">
      <w:pPr>
        <w:pBdr>
          <w:top w:val="nil"/>
          <w:left w:val="nil"/>
          <w:bottom w:val="nil"/>
          <w:right w:val="nil"/>
          <w:between w:val="nil"/>
        </w:pBdr>
        <w:jc w:val="both"/>
        <w:rPr>
          <w:rFonts w:ascii="Century Gothic" w:eastAsia="Century Gothic" w:hAnsi="Century Gothic" w:cs="Century Gothic"/>
          <w:color w:val="000000"/>
          <w:lang w:val="en-US"/>
        </w:rPr>
      </w:pPr>
      <w:r w:rsidRPr="007B1517">
        <w:rPr>
          <w:rFonts w:ascii="Century Gothic" w:eastAsia="Century Gothic" w:hAnsi="Century Gothic" w:cs="Century Gothic"/>
          <w:i/>
          <w:iCs/>
          <w:color w:val="000000"/>
          <w:lang w:val="en-US"/>
        </w:rPr>
        <w:t>(</w:t>
      </w:r>
      <w:proofErr w:type="spellStart"/>
      <w:proofErr w:type="gramStart"/>
      <w:r w:rsidRPr="007B1517">
        <w:rPr>
          <w:rFonts w:ascii="Century Gothic" w:eastAsia="Century Gothic" w:hAnsi="Century Gothic" w:cs="Century Gothic"/>
          <w:i/>
          <w:iCs/>
          <w:color w:val="000000"/>
          <w:lang w:val="en-US"/>
        </w:rPr>
        <w:t>ingat</w:t>
      </w:r>
      <w:proofErr w:type="spellEnd"/>
      <w:proofErr w:type="gramEnd"/>
      <w:r w:rsidRPr="007B1517">
        <w:rPr>
          <w:rFonts w:ascii="Century Gothic" w:eastAsia="Century Gothic" w:hAnsi="Century Gothic" w:cs="Century Gothic"/>
          <w:i/>
          <w:iCs/>
          <w:color w:val="000000"/>
          <w:lang w:val="en-US"/>
        </w:rPr>
        <w:t xml:space="preserve">: </w:t>
      </w:r>
      <w:proofErr w:type="spellStart"/>
      <w:r w:rsidRPr="007B1517">
        <w:rPr>
          <w:rFonts w:ascii="Century Gothic" w:eastAsia="Century Gothic" w:hAnsi="Century Gothic" w:cs="Century Gothic"/>
          <w:i/>
          <w:iCs/>
          <w:color w:val="000000"/>
          <w:lang w:val="en-US"/>
        </w:rPr>
        <w:t>tabelnya</w:t>
      </w:r>
      <w:proofErr w:type="spellEnd"/>
      <w:r w:rsidRPr="007B1517">
        <w:rPr>
          <w:rFonts w:ascii="Century Gothic" w:eastAsia="Century Gothic" w:hAnsi="Century Gothic" w:cs="Century Gothic"/>
          <w:i/>
          <w:iCs/>
          <w:color w:val="000000"/>
          <w:lang w:val="en-US"/>
        </w:rPr>
        <w:t xml:space="preserve"> </w:t>
      </w:r>
      <w:proofErr w:type="spellStart"/>
      <w:r w:rsidRPr="007B1517">
        <w:rPr>
          <w:rFonts w:ascii="Century Gothic" w:eastAsia="Century Gothic" w:hAnsi="Century Gothic" w:cs="Century Gothic"/>
          <w:i/>
          <w:iCs/>
          <w:color w:val="000000"/>
          <w:lang w:val="en-US"/>
        </w:rPr>
        <w:t>jangan</w:t>
      </w:r>
      <w:proofErr w:type="spellEnd"/>
      <w:r w:rsidRPr="007B1517">
        <w:rPr>
          <w:rFonts w:ascii="Century Gothic" w:eastAsia="Century Gothic" w:hAnsi="Century Gothic" w:cs="Century Gothic"/>
          <w:i/>
          <w:iCs/>
          <w:color w:val="000000"/>
          <w:lang w:val="en-US"/>
        </w:rPr>
        <w:t xml:space="preserve"> </w:t>
      </w:r>
      <w:proofErr w:type="spellStart"/>
      <w:r w:rsidRPr="007B1517">
        <w:rPr>
          <w:rFonts w:ascii="Century Gothic" w:eastAsia="Century Gothic" w:hAnsi="Century Gothic" w:cs="Century Gothic"/>
          <w:i/>
          <w:iCs/>
          <w:color w:val="000000"/>
          <w:lang w:val="en-US"/>
        </w:rPr>
        <w:t>ada</w:t>
      </w:r>
      <w:proofErr w:type="spellEnd"/>
    </w:p>
    <w:p w14:paraId="351CDFEF" w14:textId="77777777" w:rsidR="007B1517" w:rsidRPr="00206075" w:rsidRDefault="007B1517" w:rsidP="007B1517">
      <w:pPr>
        <w:pBdr>
          <w:top w:val="nil"/>
          <w:left w:val="nil"/>
          <w:bottom w:val="nil"/>
          <w:right w:val="nil"/>
          <w:between w:val="nil"/>
        </w:pBdr>
        <w:jc w:val="both"/>
        <w:rPr>
          <w:rFonts w:ascii="Century Gothic" w:eastAsia="Century Gothic" w:hAnsi="Century Gothic" w:cs="Century Gothic"/>
          <w:color w:val="000000"/>
          <w:lang w:val="en-US"/>
        </w:rPr>
      </w:pPr>
    </w:p>
    <w:p w14:paraId="4FDC1E14" w14:textId="77777777" w:rsidR="00206075" w:rsidRPr="00206075" w:rsidRDefault="00206075" w:rsidP="00206075">
      <w:pPr>
        <w:pBdr>
          <w:top w:val="nil"/>
          <w:left w:val="nil"/>
          <w:bottom w:val="nil"/>
          <w:right w:val="nil"/>
          <w:between w:val="nil"/>
        </w:pBdr>
        <w:ind w:left="2268" w:hanging="18"/>
        <w:jc w:val="both"/>
        <w:rPr>
          <w:rFonts w:ascii="Century Gothic" w:eastAsia="Century Gothic" w:hAnsi="Century Gothic" w:cs="Century Gothic"/>
          <w:b/>
          <w:bCs/>
          <w:i/>
          <w:iCs/>
          <w:color w:val="000000"/>
          <w:lang w:val="en-US"/>
        </w:rPr>
      </w:pPr>
      <w:r w:rsidRPr="00206075">
        <w:rPr>
          <w:rFonts w:ascii="Century Gothic" w:eastAsia="Century Gothic" w:hAnsi="Century Gothic" w:cs="Century Gothic"/>
          <w:b/>
          <w:bCs/>
          <w:i/>
          <w:iCs/>
          <w:color w:val="000000"/>
          <w:lang w:val="en-US"/>
        </w:rPr>
        <w:t>3.1.4 Participation in External Performance Events</w:t>
      </w:r>
    </w:p>
    <w:p w14:paraId="4A7AC94B" w14:textId="77777777" w:rsidR="00206075" w:rsidRPr="00206075" w:rsidRDefault="00206075" w:rsidP="00206075">
      <w:pPr>
        <w:pBdr>
          <w:top w:val="nil"/>
          <w:left w:val="nil"/>
          <w:bottom w:val="nil"/>
          <w:right w:val="nil"/>
          <w:between w:val="nil"/>
        </w:pBdr>
        <w:ind w:left="2268" w:firstLine="566"/>
        <w:jc w:val="both"/>
        <w:rPr>
          <w:rFonts w:ascii="Century Gothic" w:eastAsia="Century Gothic" w:hAnsi="Century Gothic" w:cs="Century Gothic"/>
          <w:color w:val="000000"/>
          <w:lang w:val="en-US"/>
        </w:rPr>
      </w:pPr>
      <w:r w:rsidRPr="00206075">
        <w:rPr>
          <w:rFonts w:ascii="Century Gothic" w:eastAsia="Century Gothic" w:hAnsi="Century Gothic" w:cs="Century Gothic"/>
          <w:color w:val="000000"/>
          <w:lang w:val="en-US"/>
        </w:rPr>
        <w:t xml:space="preserve">The outcomes of learning through imitation and drill methods were not confined to technical mastery observed within the training space; they were further validated through the students' opportunities to perform at various events outside the school. As conveyed by Ibu </w:t>
      </w:r>
      <w:proofErr w:type="spellStart"/>
      <w:r w:rsidRPr="00206075">
        <w:rPr>
          <w:rFonts w:ascii="Century Gothic" w:eastAsia="Century Gothic" w:hAnsi="Century Gothic" w:cs="Century Gothic"/>
          <w:color w:val="000000"/>
          <w:lang w:val="en-US"/>
        </w:rPr>
        <w:t>Rudyana</w:t>
      </w:r>
      <w:proofErr w:type="spellEnd"/>
      <w:r w:rsidRPr="00206075">
        <w:rPr>
          <w:rFonts w:ascii="Century Gothic" w:eastAsia="Century Gothic" w:hAnsi="Century Gothic" w:cs="Century Gothic"/>
          <w:color w:val="000000"/>
          <w:lang w:val="en-US"/>
        </w:rPr>
        <w:t xml:space="preserve"> Narastiti, </w:t>
      </w:r>
      <w:proofErr w:type="spellStart"/>
      <w:r w:rsidRPr="00206075">
        <w:rPr>
          <w:rFonts w:ascii="Century Gothic" w:eastAsia="Century Gothic" w:hAnsi="Century Gothic" w:cs="Century Gothic"/>
          <w:color w:val="000000"/>
          <w:lang w:val="en-US"/>
        </w:rPr>
        <w:t>S.Pd</w:t>
      </w:r>
      <w:proofErr w:type="spellEnd"/>
      <w:r w:rsidRPr="00206075">
        <w:rPr>
          <w:rFonts w:ascii="Century Gothic" w:eastAsia="Century Gothic" w:hAnsi="Century Gothic" w:cs="Century Gothic"/>
          <w:color w:val="000000"/>
          <w:lang w:val="en-US"/>
        </w:rPr>
        <w:t>.:</w:t>
      </w:r>
    </w:p>
    <w:p w14:paraId="63892EE4" w14:textId="36A18C01" w:rsidR="00206075" w:rsidRPr="00206075" w:rsidRDefault="00206075" w:rsidP="00206075">
      <w:pPr>
        <w:pBdr>
          <w:top w:val="nil"/>
          <w:left w:val="nil"/>
          <w:bottom w:val="nil"/>
          <w:right w:val="nil"/>
          <w:between w:val="nil"/>
        </w:pBdr>
        <w:ind w:left="2268" w:firstLine="566"/>
        <w:jc w:val="both"/>
        <w:rPr>
          <w:rFonts w:ascii="Century Gothic" w:eastAsia="Century Gothic" w:hAnsi="Century Gothic" w:cs="Century Gothic"/>
          <w:color w:val="000000"/>
          <w:lang w:val="en-US"/>
        </w:rPr>
      </w:pPr>
      <w:r w:rsidRPr="00206075">
        <w:rPr>
          <w:rFonts w:ascii="Century Gothic" w:eastAsia="Century Gothic" w:hAnsi="Century Gothic" w:cs="Century Gothic"/>
          <w:color w:val="000000"/>
          <w:lang w:val="en-US"/>
        </w:rPr>
        <w:t>"The results of learning through both methods were strongly felt, one clear indication being the numerous opportunities to perform outside the school environment. Once students had mastered the movements well</w:t>
      </w:r>
      <w:r w:rsidR="006848C4">
        <w:rPr>
          <w:rFonts w:ascii="Century Gothic" w:eastAsia="Century Gothic" w:hAnsi="Century Gothic" w:cs="Century Gothic"/>
          <w:color w:val="000000"/>
          <w:lang w:val="en-US"/>
        </w:rPr>
        <w:t xml:space="preserve"> </w:t>
      </w:r>
      <w:r w:rsidRPr="00206075">
        <w:rPr>
          <w:rFonts w:ascii="Century Gothic" w:eastAsia="Century Gothic" w:hAnsi="Century Gothic" w:cs="Century Gothic"/>
          <w:color w:val="000000"/>
          <w:lang w:val="en-US"/>
        </w:rPr>
        <w:t>through accurate imitation and consistent repeated practice</w:t>
      </w:r>
      <w:r w:rsidR="006848C4">
        <w:rPr>
          <w:rFonts w:ascii="Century Gothic" w:eastAsia="Century Gothic" w:hAnsi="Century Gothic" w:cs="Century Gothic"/>
          <w:color w:val="000000"/>
          <w:lang w:val="en-US"/>
        </w:rPr>
        <w:t xml:space="preserve"> </w:t>
      </w:r>
      <w:r w:rsidRPr="00206075">
        <w:rPr>
          <w:rFonts w:ascii="Century Gothic" w:eastAsia="Century Gothic" w:hAnsi="Century Gothic" w:cs="Century Gothic"/>
          <w:color w:val="000000"/>
          <w:lang w:val="en-US"/>
        </w:rPr>
        <w:t>the quality of their movement became increasingly refined and well-structured, which led to the Sekar Arum extracurricular being trusted to fill various events."</w:t>
      </w:r>
    </w:p>
    <w:p w14:paraId="5BDF9D7A" w14:textId="77777777" w:rsidR="00F3603B" w:rsidRDefault="00206075" w:rsidP="00206075">
      <w:pPr>
        <w:pBdr>
          <w:top w:val="nil"/>
          <w:left w:val="nil"/>
          <w:bottom w:val="nil"/>
          <w:right w:val="nil"/>
          <w:between w:val="nil"/>
        </w:pBdr>
        <w:ind w:left="2268" w:firstLine="566"/>
        <w:jc w:val="both"/>
        <w:rPr>
          <w:rFonts w:ascii="Century Gothic" w:eastAsia="Century Gothic" w:hAnsi="Century Gothic" w:cs="Century Gothic"/>
          <w:color w:val="000000"/>
        </w:rPr>
      </w:pPr>
      <w:r w:rsidRPr="00206075">
        <w:rPr>
          <w:rFonts w:ascii="Century Gothic" w:eastAsia="Century Gothic" w:hAnsi="Century Gothic" w:cs="Century Gothic"/>
          <w:color w:val="000000"/>
          <w:lang w:val="en-US"/>
        </w:rPr>
        <w:t xml:space="preserve">One concrete example of this achievement was the participation of the Sekar Arum extracurricular in the commemoration of the 80th anniversary of Indonesian Independence on August 17, 2025, performing the </w:t>
      </w:r>
      <w:proofErr w:type="spellStart"/>
      <w:r w:rsidRPr="00206075">
        <w:rPr>
          <w:rFonts w:ascii="Century Gothic" w:eastAsia="Century Gothic" w:hAnsi="Century Gothic" w:cs="Century Gothic"/>
          <w:i/>
          <w:iCs/>
          <w:color w:val="000000"/>
          <w:lang w:val="en-US"/>
        </w:rPr>
        <w:t>Warak</w:t>
      </w:r>
      <w:proofErr w:type="spellEnd"/>
      <w:r w:rsidRPr="00206075">
        <w:rPr>
          <w:rFonts w:ascii="Century Gothic" w:eastAsia="Century Gothic" w:hAnsi="Century Gothic" w:cs="Century Gothic"/>
          <w:i/>
          <w:iCs/>
          <w:color w:val="000000"/>
          <w:lang w:val="en-US"/>
        </w:rPr>
        <w:t xml:space="preserve"> </w:t>
      </w:r>
      <w:proofErr w:type="spellStart"/>
      <w:r w:rsidRPr="00206075">
        <w:rPr>
          <w:rFonts w:ascii="Century Gothic" w:eastAsia="Century Gothic" w:hAnsi="Century Gothic" w:cs="Century Gothic"/>
          <w:i/>
          <w:iCs/>
          <w:color w:val="000000"/>
          <w:lang w:val="en-US"/>
        </w:rPr>
        <w:t>Dugder</w:t>
      </w:r>
      <w:proofErr w:type="spellEnd"/>
      <w:r w:rsidRPr="00206075">
        <w:rPr>
          <w:rFonts w:ascii="Century Gothic" w:eastAsia="Century Gothic" w:hAnsi="Century Gothic" w:cs="Century Gothic"/>
          <w:color w:val="000000"/>
          <w:lang w:val="en-US"/>
        </w:rPr>
        <w:t xml:space="preserve"> dance. In addition, students were also invited to perform the </w:t>
      </w:r>
      <w:proofErr w:type="spellStart"/>
      <w:r w:rsidRPr="00206075">
        <w:rPr>
          <w:rFonts w:ascii="Century Gothic" w:eastAsia="Century Gothic" w:hAnsi="Century Gothic" w:cs="Century Gothic"/>
          <w:i/>
          <w:iCs/>
          <w:color w:val="000000"/>
          <w:lang w:val="en-US"/>
        </w:rPr>
        <w:t>Bedaya</w:t>
      </w:r>
      <w:proofErr w:type="spellEnd"/>
      <w:r w:rsidRPr="00206075">
        <w:rPr>
          <w:rFonts w:ascii="Century Gothic" w:eastAsia="Century Gothic" w:hAnsi="Century Gothic" w:cs="Century Gothic"/>
          <w:i/>
          <w:iCs/>
          <w:color w:val="000000"/>
          <w:lang w:val="en-US"/>
        </w:rPr>
        <w:t xml:space="preserve"> Putri </w:t>
      </w:r>
      <w:proofErr w:type="spellStart"/>
      <w:r w:rsidRPr="00206075">
        <w:rPr>
          <w:rFonts w:ascii="Century Gothic" w:eastAsia="Century Gothic" w:hAnsi="Century Gothic" w:cs="Century Gothic"/>
          <w:i/>
          <w:iCs/>
          <w:color w:val="000000"/>
          <w:lang w:val="en-US"/>
        </w:rPr>
        <w:t>Mojosakti</w:t>
      </w:r>
      <w:proofErr w:type="spellEnd"/>
      <w:r w:rsidRPr="00206075">
        <w:rPr>
          <w:rFonts w:ascii="Century Gothic" w:eastAsia="Century Gothic" w:hAnsi="Century Gothic" w:cs="Century Gothic"/>
          <w:color w:val="000000"/>
          <w:lang w:val="en-US"/>
        </w:rPr>
        <w:t xml:space="preserve"> dance at the opening of an exhibition and book discussion event at SMAN 1 </w:t>
      </w:r>
      <w:proofErr w:type="spellStart"/>
      <w:r w:rsidRPr="00206075">
        <w:rPr>
          <w:rFonts w:ascii="Century Gothic" w:eastAsia="Century Gothic" w:hAnsi="Century Gothic" w:cs="Century Gothic"/>
          <w:color w:val="000000"/>
          <w:lang w:val="en-US"/>
        </w:rPr>
        <w:t>Sooko</w:t>
      </w:r>
      <w:proofErr w:type="spellEnd"/>
      <w:r w:rsidRPr="00206075">
        <w:rPr>
          <w:rFonts w:ascii="Century Gothic" w:eastAsia="Century Gothic" w:hAnsi="Century Gothic" w:cs="Century Gothic"/>
          <w:color w:val="000000"/>
          <w:lang w:val="en-US"/>
        </w:rPr>
        <w:t xml:space="preserve">, Mojokerto, held from October 3–5, 2025. According to Ibu </w:t>
      </w:r>
      <w:proofErr w:type="spellStart"/>
      <w:r w:rsidRPr="00206075">
        <w:rPr>
          <w:rFonts w:ascii="Century Gothic" w:eastAsia="Century Gothic" w:hAnsi="Century Gothic" w:cs="Century Gothic"/>
          <w:color w:val="000000"/>
          <w:lang w:val="en-US"/>
        </w:rPr>
        <w:t>Rudyana</w:t>
      </w:r>
      <w:proofErr w:type="spellEnd"/>
      <w:r w:rsidRPr="00206075">
        <w:rPr>
          <w:rFonts w:ascii="Century Gothic" w:eastAsia="Century Gothic" w:hAnsi="Century Gothic" w:cs="Century Gothic"/>
          <w:color w:val="000000"/>
          <w:lang w:val="en-US"/>
        </w:rPr>
        <w:t xml:space="preserve"> Narastiti, both performance opportunities served as tangible evidence that the imitation and drill methods applied had effectively produced satisfying results. </w:t>
      </w:r>
      <w:r w:rsidR="00F3603B" w:rsidRPr="00F3603B">
        <w:rPr>
          <w:rFonts w:ascii="Century Gothic" w:eastAsia="Century Gothic" w:hAnsi="Century Gothic" w:cs="Century Gothic"/>
          <w:color w:val="000000"/>
        </w:rPr>
        <w:t>These public appearances demonstrated that the learning outcomes observed during training were transferable to authentic performance settings.</w:t>
      </w:r>
      <w:r w:rsidR="00F3603B">
        <w:rPr>
          <w:rFonts w:ascii="Century Gothic" w:eastAsia="Century Gothic" w:hAnsi="Century Gothic" w:cs="Century Gothic"/>
          <w:color w:val="000000"/>
        </w:rPr>
        <w:t xml:space="preserve"> </w:t>
      </w:r>
    </w:p>
    <w:p w14:paraId="20D8C935" w14:textId="09C168D6" w:rsidR="00206075" w:rsidRDefault="00206075" w:rsidP="00206075">
      <w:pPr>
        <w:pBdr>
          <w:top w:val="nil"/>
          <w:left w:val="nil"/>
          <w:bottom w:val="nil"/>
          <w:right w:val="nil"/>
          <w:between w:val="nil"/>
        </w:pBdr>
        <w:ind w:left="2268" w:firstLine="566"/>
        <w:jc w:val="both"/>
        <w:rPr>
          <w:rFonts w:ascii="Century Gothic" w:eastAsia="Century Gothic" w:hAnsi="Century Gothic" w:cs="Century Gothic"/>
          <w:color w:val="000000"/>
          <w:lang w:val="en-US"/>
        </w:rPr>
      </w:pPr>
      <w:r w:rsidRPr="00206075">
        <w:rPr>
          <w:rFonts w:ascii="Century Gothic" w:eastAsia="Century Gothic" w:hAnsi="Century Gothic" w:cs="Century Gothic"/>
          <w:color w:val="000000"/>
          <w:lang w:val="en-US"/>
        </w:rPr>
        <w:t>Furthermore, these performances outside the school functioned as a means of training students' self-confidence while simultaneously introducing and preserving local culture to a broader audience.</w:t>
      </w:r>
    </w:p>
    <w:p w14:paraId="107B05E7" w14:textId="166C1F11" w:rsidR="009828BB" w:rsidRDefault="009828BB" w:rsidP="00206075">
      <w:pPr>
        <w:pBdr>
          <w:top w:val="nil"/>
          <w:left w:val="nil"/>
          <w:bottom w:val="nil"/>
          <w:right w:val="nil"/>
          <w:between w:val="nil"/>
        </w:pBdr>
        <w:ind w:left="2268" w:firstLine="566"/>
        <w:jc w:val="both"/>
        <w:rPr>
          <w:rFonts w:ascii="Century Gothic" w:eastAsia="Century Gothic" w:hAnsi="Century Gothic" w:cs="Century Gothic"/>
          <w:color w:val="000000"/>
          <w:lang w:val="en-US"/>
        </w:rPr>
      </w:pPr>
      <w:r w:rsidRPr="009828BB">
        <w:rPr>
          <w:rFonts w:ascii="Century Gothic" w:eastAsia="Century Gothic" w:hAnsi="Century Gothic" w:cs="Century Gothic"/>
          <w:color w:val="000000"/>
        </w:rPr>
        <w:t xml:space="preserve">Participation in public performances also represented an authentic learning context in which students applied the technical </w:t>
      </w:r>
      <w:r w:rsidRPr="009828BB">
        <w:rPr>
          <w:rFonts w:ascii="Century Gothic" w:eastAsia="Century Gothic" w:hAnsi="Century Gothic" w:cs="Century Gothic"/>
          <w:color w:val="000000"/>
        </w:rPr>
        <w:lastRenderedPageBreak/>
        <w:t>and expressive competencies developed during rehearsal. Unlike classroom-based demonstrations, public performances required students to maintain concentration, confidence, and coordination under real performance conditions, thereby providing meaningful validation of the learning outcomes achieved.</w:t>
      </w:r>
    </w:p>
    <w:p w14:paraId="66E0D43E" w14:textId="17EDB9FF" w:rsidR="001636F5" w:rsidRDefault="001636F5" w:rsidP="001636F5">
      <w:pPr>
        <w:pBdr>
          <w:top w:val="nil"/>
          <w:left w:val="nil"/>
          <w:bottom w:val="nil"/>
          <w:right w:val="nil"/>
          <w:between w:val="nil"/>
        </w:pBdr>
        <w:ind w:left="2268"/>
        <w:jc w:val="both"/>
        <w:rPr>
          <w:rFonts w:ascii="Century Gothic" w:eastAsia="Century Gothic" w:hAnsi="Century Gothic" w:cs="Century Gothic"/>
          <w:b/>
          <w:bCs/>
          <w:color w:val="000000"/>
        </w:rPr>
      </w:pPr>
      <w:r>
        <w:rPr>
          <w:noProof/>
        </w:rPr>
        <w:drawing>
          <wp:inline distT="0" distB="0" distL="0" distR="0" wp14:anchorId="16052137" wp14:editId="329A50F0">
            <wp:extent cx="2668905" cy="2265680"/>
            <wp:effectExtent l="0" t="0" r="0" b="1270"/>
            <wp:docPr id="1004422173"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422173" name="Picture 51"/>
                    <pic:cNvPicPr>
                      <a:picLocks noChangeAspect="1"/>
                    </pic:cNvPicPr>
                  </pic:nvPicPr>
                  <pic:blipFill rotWithShape="1">
                    <a:blip r:embed="rId19" cstate="print">
                      <a:extLst>
                        <a:ext uri="{28A0092B-C50C-407E-A947-70E740481C1C}">
                          <a14:useLocalDpi xmlns:a14="http://schemas.microsoft.com/office/drawing/2010/main" val="0"/>
                        </a:ext>
                      </a:extLst>
                    </a:blip>
                    <a:srcRect t="31307" b="30788"/>
                    <a:stretch>
                      <a:fillRect/>
                    </a:stretch>
                  </pic:blipFill>
                  <pic:spPr bwMode="auto">
                    <a:xfrm>
                      <a:off x="0" y="0"/>
                      <a:ext cx="2668905" cy="2265680"/>
                    </a:xfrm>
                    <a:prstGeom prst="rect">
                      <a:avLst/>
                    </a:prstGeom>
                    <a:ln>
                      <a:noFill/>
                    </a:ln>
                    <a:extLst>
                      <a:ext uri="{53640926-AAD7-44D8-BBD7-CCE9431645EC}">
                        <a14:shadowObscured xmlns:a14="http://schemas.microsoft.com/office/drawing/2010/main"/>
                      </a:ext>
                    </a:extLst>
                  </pic:spPr>
                </pic:pic>
              </a:graphicData>
            </a:graphic>
          </wp:inline>
        </w:drawing>
      </w:r>
    </w:p>
    <w:p w14:paraId="0CEBB466" w14:textId="24C64F66" w:rsidR="001636F5" w:rsidRDefault="001636F5" w:rsidP="001636F5">
      <w:pPr>
        <w:pBdr>
          <w:top w:val="nil"/>
          <w:left w:val="nil"/>
          <w:bottom w:val="nil"/>
          <w:right w:val="nil"/>
          <w:between w:val="nil"/>
        </w:pBdr>
        <w:ind w:left="2268"/>
        <w:jc w:val="both"/>
        <w:rPr>
          <w:rFonts w:ascii="Century Gothic" w:eastAsia="Century Gothic" w:hAnsi="Century Gothic" w:cs="Century Gothic"/>
          <w:color w:val="000000"/>
          <w:sz w:val="16"/>
          <w:szCs w:val="16"/>
        </w:rPr>
      </w:pPr>
      <w:r w:rsidRPr="001636F5">
        <w:rPr>
          <w:rFonts w:ascii="Century Gothic" w:eastAsia="Century Gothic" w:hAnsi="Century Gothic" w:cs="Century Gothic"/>
          <w:b/>
          <w:bCs/>
          <w:color w:val="000000"/>
          <w:sz w:val="16"/>
          <w:szCs w:val="16"/>
        </w:rPr>
        <w:t>Figure 1.</w:t>
      </w:r>
      <w:r w:rsidRPr="001636F5">
        <w:rPr>
          <w:rFonts w:ascii="Century Gothic" w:eastAsia="Century Gothic" w:hAnsi="Century Gothic" w:cs="Century Gothic"/>
          <w:color w:val="000000"/>
          <w:sz w:val="16"/>
          <w:szCs w:val="16"/>
        </w:rPr>
        <w:t xml:space="preserve"> Sekar Arum extracurricular performing </w:t>
      </w:r>
      <w:r w:rsidRPr="001636F5">
        <w:rPr>
          <w:rFonts w:ascii="Century Gothic" w:eastAsia="Century Gothic" w:hAnsi="Century Gothic" w:cs="Century Gothic"/>
          <w:i/>
          <w:iCs/>
          <w:color w:val="000000"/>
          <w:sz w:val="16"/>
          <w:szCs w:val="16"/>
        </w:rPr>
        <w:t>Warak Dugder</w:t>
      </w:r>
      <w:r w:rsidRPr="001636F5">
        <w:rPr>
          <w:rFonts w:ascii="Century Gothic" w:eastAsia="Century Gothic" w:hAnsi="Century Gothic" w:cs="Century Gothic"/>
          <w:color w:val="000000"/>
          <w:sz w:val="16"/>
          <w:szCs w:val="16"/>
        </w:rPr>
        <w:t xml:space="preserve"> dance at the 80th Indonesian Independence Day commemoration, August 17, 2025</w:t>
      </w:r>
    </w:p>
    <w:p w14:paraId="0ABC5FE0" w14:textId="77777777" w:rsidR="00627A8F" w:rsidRDefault="00000000">
      <w:pPr>
        <w:pStyle w:val="Heading2"/>
        <w:spacing w:before="120" w:after="120"/>
        <w:ind w:left="2268"/>
        <w:rPr>
          <w:rFonts w:ascii="Century Gothic" w:eastAsia="Century Gothic" w:hAnsi="Century Gothic" w:cs="Century Gothic"/>
          <w:sz w:val="20"/>
          <w:szCs w:val="20"/>
        </w:rPr>
      </w:pPr>
      <w:r>
        <w:rPr>
          <w:rFonts w:ascii="Century Gothic" w:eastAsia="Century Gothic" w:hAnsi="Century Gothic" w:cs="Century Gothic"/>
          <w:sz w:val="20"/>
          <w:szCs w:val="20"/>
        </w:rPr>
        <w:t>3.2 Discussion</w:t>
      </w:r>
    </w:p>
    <w:p w14:paraId="11C151D0" w14:textId="4B0FA902" w:rsidR="006848C4" w:rsidRDefault="006848C4" w:rsidP="006848C4">
      <w:pPr>
        <w:pBdr>
          <w:top w:val="nil"/>
          <w:left w:val="nil"/>
          <w:bottom w:val="nil"/>
          <w:right w:val="nil"/>
          <w:between w:val="nil"/>
        </w:pBdr>
        <w:spacing w:before="240" w:after="240"/>
        <w:ind w:left="2268" w:firstLine="566"/>
        <w:jc w:val="both"/>
        <w:rPr>
          <w:rFonts w:ascii="Century Gothic" w:eastAsia="Century Gothic" w:hAnsi="Century Gothic" w:cs="Century Gothic"/>
          <w:color w:val="000000"/>
        </w:rPr>
      </w:pPr>
      <w:r w:rsidRPr="006848C4">
        <w:rPr>
          <w:rFonts w:ascii="Century Gothic" w:eastAsia="Century Gothic" w:hAnsi="Century Gothic" w:cs="Century Gothic"/>
          <w:color w:val="000000"/>
        </w:rPr>
        <w:t>To situate the present findings within the broader literature on imitation and drill methods in dance pedagogy, Table 2 summarizes the focus and key outcomes of several recent related studies alongside those of the present research.</w:t>
      </w:r>
    </w:p>
    <w:p w14:paraId="657DE462" w14:textId="77777777" w:rsidR="006848C4" w:rsidRPr="006848C4" w:rsidRDefault="006848C4" w:rsidP="006848C4">
      <w:pPr>
        <w:pBdr>
          <w:top w:val="nil"/>
          <w:left w:val="nil"/>
          <w:bottom w:val="nil"/>
          <w:right w:val="nil"/>
          <w:between w:val="nil"/>
        </w:pBdr>
        <w:spacing w:before="240" w:after="240"/>
        <w:jc w:val="both"/>
        <w:rPr>
          <w:rFonts w:ascii="Century Gothic" w:eastAsia="Century Gothic" w:hAnsi="Century Gothic" w:cs="Century Gothic"/>
          <w:color w:val="000000"/>
          <w:sz w:val="16"/>
          <w:szCs w:val="16"/>
          <w:lang w:val="en-US"/>
        </w:rPr>
      </w:pPr>
      <w:r w:rsidRPr="006848C4">
        <w:rPr>
          <w:rFonts w:ascii="Century Gothic" w:eastAsia="Century Gothic" w:hAnsi="Century Gothic" w:cs="Century Gothic"/>
          <w:b/>
          <w:bCs/>
          <w:color w:val="000000"/>
          <w:sz w:val="16"/>
          <w:szCs w:val="16"/>
          <w:lang w:val="en-US"/>
        </w:rPr>
        <w:t>Table 2.</w:t>
      </w:r>
      <w:r w:rsidRPr="006848C4">
        <w:rPr>
          <w:rFonts w:ascii="Century Gothic" w:eastAsia="Century Gothic" w:hAnsi="Century Gothic" w:cs="Century Gothic"/>
          <w:color w:val="000000"/>
          <w:sz w:val="16"/>
          <w:szCs w:val="16"/>
          <w:lang w:val="en-US"/>
        </w:rPr>
        <w:t xml:space="preserve"> Comparison of Recent Studies on Imitation and Drill Methods in Dance Learning</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09"/>
        <w:gridCol w:w="2437"/>
        <w:gridCol w:w="4881"/>
      </w:tblGrid>
      <w:tr w:rsidR="006848C4" w:rsidRPr="006848C4" w14:paraId="53EAE3D2" w14:textId="77777777" w:rsidTr="006848C4">
        <w:trPr>
          <w:tblHeader/>
          <w:tblCellSpacing w:w="15" w:type="dxa"/>
        </w:trPr>
        <w:tc>
          <w:tcPr>
            <w:tcW w:w="0" w:type="auto"/>
            <w:tcBorders>
              <w:top w:val="single" w:sz="4" w:space="0" w:color="auto"/>
              <w:bottom w:val="single" w:sz="4" w:space="0" w:color="auto"/>
            </w:tcBorders>
            <w:vAlign w:val="center"/>
            <w:hideMark/>
          </w:tcPr>
          <w:p w14:paraId="29AF6E14" w14:textId="77777777" w:rsidR="006848C4" w:rsidRPr="006848C4" w:rsidRDefault="006848C4" w:rsidP="006848C4">
            <w:pPr>
              <w:pBdr>
                <w:top w:val="nil"/>
                <w:left w:val="nil"/>
                <w:bottom w:val="nil"/>
                <w:right w:val="nil"/>
                <w:between w:val="nil"/>
              </w:pBdr>
              <w:jc w:val="both"/>
              <w:rPr>
                <w:rFonts w:ascii="Century Gothic" w:eastAsia="Century Gothic" w:hAnsi="Century Gothic" w:cs="Century Gothic"/>
                <w:b/>
                <w:bCs/>
                <w:color w:val="000000"/>
                <w:lang w:val="en-US"/>
              </w:rPr>
            </w:pPr>
            <w:r w:rsidRPr="006848C4">
              <w:rPr>
                <w:rFonts w:ascii="Century Gothic" w:eastAsia="Century Gothic" w:hAnsi="Century Gothic" w:cs="Century Gothic"/>
                <w:b/>
                <w:bCs/>
                <w:color w:val="000000"/>
                <w:lang w:val="en-US"/>
              </w:rPr>
              <w:t>Study</w:t>
            </w:r>
          </w:p>
        </w:tc>
        <w:tc>
          <w:tcPr>
            <w:tcW w:w="0" w:type="auto"/>
            <w:tcBorders>
              <w:top w:val="single" w:sz="4" w:space="0" w:color="auto"/>
              <w:bottom w:val="single" w:sz="4" w:space="0" w:color="auto"/>
            </w:tcBorders>
            <w:vAlign w:val="center"/>
            <w:hideMark/>
          </w:tcPr>
          <w:p w14:paraId="4A1EAD03" w14:textId="77777777" w:rsidR="006848C4" w:rsidRPr="006848C4" w:rsidRDefault="006848C4" w:rsidP="006848C4">
            <w:pPr>
              <w:pBdr>
                <w:top w:val="nil"/>
                <w:left w:val="nil"/>
                <w:bottom w:val="nil"/>
                <w:right w:val="nil"/>
                <w:between w:val="nil"/>
              </w:pBdr>
              <w:jc w:val="both"/>
              <w:rPr>
                <w:rFonts w:ascii="Century Gothic" w:eastAsia="Century Gothic" w:hAnsi="Century Gothic" w:cs="Century Gothic"/>
                <w:b/>
                <w:bCs/>
                <w:color w:val="000000"/>
                <w:lang w:val="en-US"/>
              </w:rPr>
            </w:pPr>
            <w:r w:rsidRPr="006848C4">
              <w:rPr>
                <w:rFonts w:ascii="Century Gothic" w:eastAsia="Century Gothic" w:hAnsi="Century Gothic" w:cs="Century Gothic"/>
                <w:b/>
                <w:bCs/>
                <w:color w:val="000000"/>
                <w:lang w:val="en-US"/>
              </w:rPr>
              <w:t>Context</w:t>
            </w:r>
          </w:p>
        </w:tc>
        <w:tc>
          <w:tcPr>
            <w:tcW w:w="0" w:type="auto"/>
            <w:tcBorders>
              <w:top w:val="single" w:sz="4" w:space="0" w:color="auto"/>
              <w:bottom w:val="single" w:sz="4" w:space="0" w:color="auto"/>
            </w:tcBorders>
            <w:vAlign w:val="center"/>
            <w:hideMark/>
          </w:tcPr>
          <w:p w14:paraId="15E02B54" w14:textId="77777777" w:rsidR="006848C4" w:rsidRPr="006848C4" w:rsidRDefault="006848C4" w:rsidP="006848C4">
            <w:pPr>
              <w:pBdr>
                <w:top w:val="nil"/>
                <w:left w:val="nil"/>
                <w:bottom w:val="nil"/>
                <w:right w:val="nil"/>
                <w:between w:val="nil"/>
              </w:pBdr>
              <w:jc w:val="both"/>
              <w:rPr>
                <w:rFonts w:ascii="Century Gothic" w:eastAsia="Century Gothic" w:hAnsi="Century Gothic" w:cs="Century Gothic"/>
                <w:b/>
                <w:bCs/>
                <w:color w:val="000000"/>
                <w:lang w:val="en-US"/>
              </w:rPr>
            </w:pPr>
            <w:r w:rsidRPr="006848C4">
              <w:rPr>
                <w:rFonts w:ascii="Century Gothic" w:eastAsia="Century Gothic" w:hAnsi="Century Gothic" w:cs="Century Gothic"/>
                <w:b/>
                <w:bCs/>
                <w:color w:val="000000"/>
                <w:lang w:val="en-US"/>
              </w:rPr>
              <w:t>Key Outcome Emphasized</w:t>
            </w:r>
          </w:p>
        </w:tc>
      </w:tr>
      <w:tr w:rsidR="006848C4" w:rsidRPr="006848C4" w14:paraId="4C40AB9B" w14:textId="77777777">
        <w:trPr>
          <w:tblCellSpacing w:w="15" w:type="dxa"/>
        </w:trPr>
        <w:tc>
          <w:tcPr>
            <w:tcW w:w="0" w:type="auto"/>
            <w:vAlign w:val="center"/>
            <w:hideMark/>
          </w:tcPr>
          <w:p w14:paraId="7532D2DE" w14:textId="77777777" w:rsidR="006848C4" w:rsidRPr="006848C4" w:rsidRDefault="006848C4" w:rsidP="006848C4">
            <w:pPr>
              <w:pBdr>
                <w:top w:val="nil"/>
                <w:left w:val="nil"/>
                <w:bottom w:val="nil"/>
                <w:right w:val="nil"/>
                <w:between w:val="nil"/>
              </w:pBdr>
              <w:rPr>
                <w:rFonts w:ascii="Century Gothic" w:eastAsia="Century Gothic" w:hAnsi="Century Gothic" w:cs="Century Gothic"/>
                <w:color w:val="000000"/>
                <w:lang w:val="en-US"/>
              </w:rPr>
            </w:pPr>
            <w:proofErr w:type="spellStart"/>
            <w:r w:rsidRPr="006848C4">
              <w:rPr>
                <w:rFonts w:ascii="Century Gothic" w:eastAsia="Century Gothic" w:hAnsi="Century Gothic" w:cs="Century Gothic"/>
                <w:color w:val="000000"/>
                <w:lang w:val="en-US"/>
              </w:rPr>
              <w:t>Hariswari</w:t>
            </w:r>
            <w:proofErr w:type="spellEnd"/>
            <w:r w:rsidRPr="006848C4">
              <w:rPr>
                <w:rFonts w:ascii="Century Gothic" w:eastAsia="Century Gothic" w:hAnsi="Century Gothic" w:cs="Century Gothic"/>
                <w:color w:val="000000"/>
                <w:lang w:val="en-US"/>
              </w:rPr>
              <w:t xml:space="preserve"> &amp; Sape (2025)</w:t>
            </w:r>
          </w:p>
        </w:tc>
        <w:tc>
          <w:tcPr>
            <w:tcW w:w="0" w:type="auto"/>
            <w:vAlign w:val="center"/>
            <w:hideMark/>
          </w:tcPr>
          <w:p w14:paraId="39D077D9" w14:textId="77777777" w:rsidR="006848C4" w:rsidRPr="006848C4" w:rsidRDefault="006848C4" w:rsidP="006848C4">
            <w:pPr>
              <w:pBdr>
                <w:top w:val="nil"/>
                <w:left w:val="nil"/>
                <w:bottom w:val="nil"/>
                <w:right w:val="nil"/>
                <w:between w:val="nil"/>
              </w:pBdr>
              <w:rPr>
                <w:rFonts w:ascii="Century Gothic" w:eastAsia="Century Gothic" w:hAnsi="Century Gothic" w:cs="Century Gothic"/>
                <w:color w:val="000000"/>
                <w:lang w:val="en-US"/>
              </w:rPr>
            </w:pPr>
            <w:proofErr w:type="spellStart"/>
            <w:r w:rsidRPr="006848C4">
              <w:rPr>
                <w:rFonts w:ascii="Century Gothic" w:eastAsia="Century Gothic" w:hAnsi="Century Gothic" w:cs="Century Gothic"/>
                <w:color w:val="000000"/>
                <w:lang w:val="en-US"/>
              </w:rPr>
              <w:t>Feto</w:t>
            </w:r>
            <w:proofErr w:type="spellEnd"/>
            <w:r w:rsidRPr="006848C4">
              <w:rPr>
                <w:rFonts w:ascii="Century Gothic" w:eastAsia="Century Gothic" w:hAnsi="Century Gothic" w:cs="Century Gothic"/>
                <w:color w:val="000000"/>
                <w:lang w:val="en-US"/>
              </w:rPr>
              <w:t xml:space="preserve"> Hitu dance reconstruction, university dance studio</w:t>
            </w:r>
          </w:p>
        </w:tc>
        <w:tc>
          <w:tcPr>
            <w:tcW w:w="0" w:type="auto"/>
            <w:vAlign w:val="center"/>
            <w:hideMark/>
          </w:tcPr>
          <w:p w14:paraId="0D929A93" w14:textId="77777777" w:rsidR="006848C4" w:rsidRPr="006848C4" w:rsidRDefault="006848C4" w:rsidP="006848C4">
            <w:pPr>
              <w:pBdr>
                <w:top w:val="nil"/>
                <w:left w:val="nil"/>
                <w:bottom w:val="nil"/>
                <w:right w:val="nil"/>
                <w:between w:val="nil"/>
              </w:pBdr>
              <w:rPr>
                <w:rFonts w:ascii="Century Gothic" w:eastAsia="Century Gothic" w:hAnsi="Century Gothic" w:cs="Century Gothic"/>
                <w:color w:val="000000"/>
                <w:lang w:val="en-US"/>
              </w:rPr>
            </w:pPr>
            <w:r w:rsidRPr="006848C4">
              <w:rPr>
                <w:rFonts w:ascii="Century Gothic" w:eastAsia="Century Gothic" w:hAnsi="Century Gothic" w:cs="Century Gothic"/>
                <w:color w:val="000000"/>
                <w:lang w:val="en-US"/>
              </w:rPr>
              <w:t>Drill improves precision/tempo/synchronization; imitation supports initial understanding</w:t>
            </w:r>
          </w:p>
        </w:tc>
      </w:tr>
      <w:tr w:rsidR="006848C4" w:rsidRPr="006848C4" w14:paraId="1AA1AC1F" w14:textId="77777777">
        <w:trPr>
          <w:tblCellSpacing w:w="15" w:type="dxa"/>
        </w:trPr>
        <w:tc>
          <w:tcPr>
            <w:tcW w:w="0" w:type="auto"/>
            <w:vAlign w:val="center"/>
            <w:hideMark/>
          </w:tcPr>
          <w:p w14:paraId="6804279B" w14:textId="77777777" w:rsidR="006848C4" w:rsidRPr="006848C4" w:rsidRDefault="006848C4" w:rsidP="006848C4">
            <w:pPr>
              <w:pBdr>
                <w:top w:val="nil"/>
                <w:left w:val="nil"/>
                <w:bottom w:val="nil"/>
                <w:right w:val="nil"/>
                <w:between w:val="nil"/>
              </w:pBdr>
              <w:rPr>
                <w:rFonts w:ascii="Century Gothic" w:eastAsia="Century Gothic" w:hAnsi="Century Gothic" w:cs="Century Gothic"/>
                <w:color w:val="000000"/>
                <w:lang w:val="en-US"/>
              </w:rPr>
            </w:pPr>
            <w:proofErr w:type="spellStart"/>
            <w:r w:rsidRPr="006848C4">
              <w:rPr>
                <w:rFonts w:ascii="Century Gothic" w:eastAsia="Century Gothic" w:hAnsi="Century Gothic" w:cs="Century Gothic"/>
                <w:color w:val="000000"/>
                <w:lang w:val="en-US"/>
              </w:rPr>
              <w:t>Harbonnier-Topin</w:t>
            </w:r>
            <w:proofErr w:type="spellEnd"/>
            <w:r w:rsidRPr="006848C4">
              <w:rPr>
                <w:rFonts w:ascii="Century Gothic" w:eastAsia="Century Gothic" w:hAnsi="Century Gothic" w:cs="Century Gothic"/>
                <w:color w:val="000000"/>
                <w:lang w:val="en-US"/>
              </w:rPr>
              <w:t xml:space="preserve"> &amp; Barbier (2014)</w:t>
            </w:r>
          </w:p>
        </w:tc>
        <w:tc>
          <w:tcPr>
            <w:tcW w:w="0" w:type="auto"/>
            <w:vAlign w:val="center"/>
            <w:hideMark/>
          </w:tcPr>
          <w:p w14:paraId="02705E66" w14:textId="77777777" w:rsidR="006848C4" w:rsidRPr="006848C4" w:rsidRDefault="006848C4" w:rsidP="006848C4">
            <w:pPr>
              <w:pBdr>
                <w:top w:val="nil"/>
                <w:left w:val="nil"/>
                <w:bottom w:val="nil"/>
                <w:right w:val="nil"/>
                <w:between w:val="nil"/>
              </w:pBdr>
              <w:rPr>
                <w:rFonts w:ascii="Century Gothic" w:eastAsia="Century Gothic" w:hAnsi="Century Gothic" w:cs="Century Gothic"/>
                <w:color w:val="000000"/>
                <w:lang w:val="en-US"/>
              </w:rPr>
            </w:pPr>
            <w:r w:rsidRPr="006848C4">
              <w:rPr>
                <w:rFonts w:ascii="Century Gothic" w:eastAsia="Century Gothic" w:hAnsi="Century Gothic" w:cs="Century Gothic"/>
                <w:color w:val="000000"/>
                <w:lang w:val="en-US"/>
              </w:rPr>
              <w:t>Contemporary dance technique classes, Montreal</w:t>
            </w:r>
          </w:p>
        </w:tc>
        <w:tc>
          <w:tcPr>
            <w:tcW w:w="0" w:type="auto"/>
            <w:vAlign w:val="center"/>
            <w:hideMark/>
          </w:tcPr>
          <w:p w14:paraId="2BE2108D" w14:textId="77777777" w:rsidR="006848C4" w:rsidRPr="006848C4" w:rsidRDefault="006848C4" w:rsidP="006848C4">
            <w:pPr>
              <w:pBdr>
                <w:top w:val="nil"/>
                <w:left w:val="nil"/>
                <w:bottom w:val="nil"/>
                <w:right w:val="nil"/>
                <w:between w:val="nil"/>
              </w:pBdr>
              <w:rPr>
                <w:rFonts w:ascii="Century Gothic" w:eastAsia="Century Gothic" w:hAnsi="Century Gothic" w:cs="Century Gothic"/>
                <w:color w:val="000000"/>
                <w:lang w:val="en-US"/>
              </w:rPr>
            </w:pPr>
            <w:r w:rsidRPr="006848C4">
              <w:rPr>
                <w:rFonts w:ascii="Century Gothic" w:eastAsia="Century Gothic" w:hAnsi="Century Gothic" w:cs="Century Gothic"/>
                <w:color w:val="000000"/>
                <w:lang w:val="en-US"/>
              </w:rPr>
              <w:t>Demonstration-reproduction as a relational, teacher-student "resonance"</w:t>
            </w:r>
          </w:p>
        </w:tc>
      </w:tr>
      <w:tr w:rsidR="006848C4" w:rsidRPr="006848C4" w14:paraId="2427419E" w14:textId="77777777">
        <w:trPr>
          <w:tblCellSpacing w:w="15" w:type="dxa"/>
        </w:trPr>
        <w:tc>
          <w:tcPr>
            <w:tcW w:w="0" w:type="auto"/>
            <w:vAlign w:val="center"/>
            <w:hideMark/>
          </w:tcPr>
          <w:p w14:paraId="4754E2E6" w14:textId="77777777" w:rsidR="006848C4" w:rsidRPr="006848C4" w:rsidRDefault="006848C4" w:rsidP="006848C4">
            <w:pPr>
              <w:pBdr>
                <w:top w:val="nil"/>
                <w:left w:val="nil"/>
                <w:bottom w:val="nil"/>
                <w:right w:val="nil"/>
                <w:between w:val="nil"/>
              </w:pBdr>
              <w:rPr>
                <w:rFonts w:ascii="Century Gothic" w:eastAsia="Century Gothic" w:hAnsi="Century Gothic" w:cs="Century Gothic"/>
                <w:color w:val="000000"/>
                <w:lang w:val="en-US"/>
              </w:rPr>
            </w:pPr>
            <w:proofErr w:type="spellStart"/>
            <w:r w:rsidRPr="006848C4">
              <w:rPr>
                <w:rFonts w:ascii="Century Gothic" w:eastAsia="Century Gothic" w:hAnsi="Century Gothic" w:cs="Century Gothic"/>
                <w:color w:val="000000"/>
                <w:lang w:val="en-US"/>
              </w:rPr>
              <w:t>Rusyanti</w:t>
            </w:r>
            <w:proofErr w:type="spellEnd"/>
            <w:r w:rsidRPr="006848C4">
              <w:rPr>
                <w:rFonts w:ascii="Century Gothic" w:eastAsia="Century Gothic" w:hAnsi="Century Gothic" w:cs="Century Gothic"/>
                <w:color w:val="000000"/>
                <w:lang w:val="en-US"/>
              </w:rPr>
              <w:t xml:space="preserve"> et al. (2020)</w:t>
            </w:r>
          </w:p>
        </w:tc>
        <w:tc>
          <w:tcPr>
            <w:tcW w:w="0" w:type="auto"/>
            <w:vAlign w:val="center"/>
            <w:hideMark/>
          </w:tcPr>
          <w:p w14:paraId="1E916FE4" w14:textId="77777777" w:rsidR="006848C4" w:rsidRPr="006848C4" w:rsidRDefault="006848C4" w:rsidP="006848C4">
            <w:pPr>
              <w:pBdr>
                <w:top w:val="nil"/>
                <w:left w:val="nil"/>
                <w:bottom w:val="nil"/>
                <w:right w:val="nil"/>
                <w:between w:val="nil"/>
              </w:pBdr>
              <w:rPr>
                <w:rFonts w:ascii="Century Gothic" w:eastAsia="Century Gothic" w:hAnsi="Century Gothic" w:cs="Century Gothic"/>
                <w:color w:val="000000"/>
                <w:lang w:val="en-US"/>
              </w:rPr>
            </w:pPr>
            <w:r w:rsidRPr="006848C4">
              <w:rPr>
                <w:rFonts w:ascii="Century Gothic" w:eastAsia="Century Gothic" w:hAnsi="Century Gothic" w:cs="Century Gothic"/>
                <w:color w:val="000000"/>
                <w:lang w:val="en-US"/>
              </w:rPr>
              <w:t>Traditional dance for hard-of-hearing students</w:t>
            </w:r>
          </w:p>
        </w:tc>
        <w:tc>
          <w:tcPr>
            <w:tcW w:w="0" w:type="auto"/>
            <w:vAlign w:val="center"/>
            <w:hideMark/>
          </w:tcPr>
          <w:p w14:paraId="4C7E4B9A" w14:textId="77777777" w:rsidR="006848C4" w:rsidRPr="006848C4" w:rsidRDefault="006848C4" w:rsidP="006848C4">
            <w:pPr>
              <w:pBdr>
                <w:top w:val="nil"/>
                <w:left w:val="nil"/>
                <w:bottom w:val="nil"/>
                <w:right w:val="nil"/>
                <w:between w:val="nil"/>
              </w:pBdr>
              <w:rPr>
                <w:rFonts w:ascii="Century Gothic" w:eastAsia="Century Gothic" w:hAnsi="Century Gothic" w:cs="Century Gothic"/>
                <w:color w:val="000000"/>
                <w:lang w:val="en-US"/>
              </w:rPr>
            </w:pPr>
            <w:r w:rsidRPr="006848C4">
              <w:rPr>
                <w:rFonts w:ascii="Century Gothic" w:eastAsia="Century Gothic" w:hAnsi="Century Gothic" w:cs="Century Gothic"/>
                <w:color w:val="000000"/>
                <w:lang w:val="en-US"/>
              </w:rPr>
              <w:t>Imitation, informative, and drill methods adapted through visual/gestural cues</w:t>
            </w:r>
          </w:p>
        </w:tc>
      </w:tr>
      <w:tr w:rsidR="006848C4" w:rsidRPr="006848C4" w14:paraId="6F9E9E60" w14:textId="77777777" w:rsidTr="006848C4">
        <w:trPr>
          <w:tblCellSpacing w:w="15" w:type="dxa"/>
        </w:trPr>
        <w:tc>
          <w:tcPr>
            <w:tcW w:w="0" w:type="auto"/>
            <w:tcBorders>
              <w:bottom w:val="single" w:sz="4" w:space="0" w:color="auto"/>
            </w:tcBorders>
            <w:vAlign w:val="center"/>
            <w:hideMark/>
          </w:tcPr>
          <w:p w14:paraId="110D08BE" w14:textId="77777777" w:rsidR="006848C4" w:rsidRPr="006848C4" w:rsidRDefault="006848C4" w:rsidP="006848C4">
            <w:pPr>
              <w:pBdr>
                <w:top w:val="nil"/>
                <w:left w:val="nil"/>
                <w:bottom w:val="nil"/>
                <w:right w:val="nil"/>
                <w:between w:val="nil"/>
              </w:pBdr>
              <w:rPr>
                <w:rFonts w:ascii="Century Gothic" w:eastAsia="Century Gothic" w:hAnsi="Century Gothic" w:cs="Century Gothic"/>
                <w:color w:val="000000"/>
                <w:lang w:val="en-US"/>
              </w:rPr>
            </w:pPr>
            <w:r w:rsidRPr="006848C4">
              <w:rPr>
                <w:rFonts w:ascii="Century Gothic" w:eastAsia="Century Gothic" w:hAnsi="Century Gothic" w:cs="Century Gothic"/>
                <w:color w:val="000000"/>
                <w:lang w:val="en-US"/>
              </w:rPr>
              <w:t>Present study (2026)</w:t>
            </w:r>
          </w:p>
        </w:tc>
        <w:tc>
          <w:tcPr>
            <w:tcW w:w="0" w:type="auto"/>
            <w:tcBorders>
              <w:bottom w:val="single" w:sz="4" w:space="0" w:color="auto"/>
            </w:tcBorders>
            <w:vAlign w:val="center"/>
            <w:hideMark/>
          </w:tcPr>
          <w:p w14:paraId="3C15194C" w14:textId="77777777" w:rsidR="006848C4" w:rsidRPr="006848C4" w:rsidRDefault="006848C4" w:rsidP="006848C4">
            <w:pPr>
              <w:pBdr>
                <w:top w:val="nil"/>
                <w:left w:val="nil"/>
                <w:bottom w:val="nil"/>
                <w:right w:val="nil"/>
                <w:between w:val="nil"/>
              </w:pBdr>
              <w:rPr>
                <w:rFonts w:ascii="Century Gothic" w:eastAsia="Century Gothic" w:hAnsi="Century Gothic" w:cs="Century Gothic"/>
                <w:color w:val="000000"/>
                <w:lang w:val="en-US"/>
              </w:rPr>
            </w:pPr>
            <w:proofErr w:type="spellStart"/>
            <w:r w:rsidRPr="006848C4">
              <w:rPr>
                <w:rFonts w:ascii="Century Gothic" w:eastAsia="Century Gothic" w:hAnsi="Century Gothic" w:cs="Century Gothic"/>
                <w:i/>
                <w:iCs/>
                <w:color w:val="000000"/>
                <w:lang w:val="en-US"/>
              </w:rPr>
              <w:t>Wanci</w:t>
            </w:r>
            <w:proofErr w:type="spellEnd"/>
            <w:r w:rsidRPr="006848C4">
              <w:rPr>
                <w:rFonts w:ascii="Century Gothic" w:eastAsia="Century Gothic" w:hAnsi="Century Gothic" w:cs="Century Gothic"/>
                <w:i/>
                <w:iCs/>
                <w:color w:val="000000"/>
                <w:lang w:val="en-US"/>
              </w:rPr>
              <w:t xml:space="preserve"> </w:t>
            </w:r>
            <w:proofErr w:type="spellStart"/>
            <w:r w:rsidRPr="006848C4">
              <w:rPr>
                <w:rFonts w:ascii="Century Gothic" w:eastAsia="Century Gothic" w:hAnsi="Century Gothic" w:cs="Century Gothic"/>
                <w:i/>
                <w:iCs/>
                <w:color w:val="000000"/>
                <w:lang w:val="en-US"/>
              </w:rPr>
              <w:t>Kahuripan</w:t>
            </w:r>
            <w:proofErr w:type="spellEnd"/>
            <w:r w:rsidRPr="006848C4">
              <w:rPr>
                <w:rFonts w:ascii="Century Gothic" w:eastAsia="Century Gothic" w:hAnsi="Century Gothic" w:cs="Century Gothic"/>
                <w:color w:val="000000"/>
                <w:lang w:val="en-US"/>
              </w:rPr>
              <w:t xml:space="preserve"> dance, SMK extracurricular, Mojokerto</w:t>
            </w:r>
          </w:p>
        </w:tc>
        <w:tc>
          <w:tcPr>
            <w:tcW w:w="0" w:type="auto"/>
            <w:tcBorders>
              <w:bottom w:val="single" w:sz="4" w:space="0" w:color="auto"/>
            </w:tcBorders>
            <w:vAlign w:val="center"/>
            <w:hideMark/>
          </w:tcPr>
          <w:p w14:paraId="10783BE6" w14:textId="77777777" w:rsidR="006848C4" w:rsidRPr="006848C4" w:rsidRDefault="006848C4" w:rsidP="006848C4">
            <w:pPr>
              <w:pBdr>
                <w:top w:val="nil"/>
                <w:left w:val="nil"/>
                <w:bottom w:val="nil"/>
                <w:right w:val="nil"/>
                <w:between w:val="nil"/>
              </w:pBdr>
              <w:rPr>
                <w:rFonts w:ascii="Century Gothic" w:eastAsia="Century Gothic" w:hAnsi="Century Gothic" w:cs="Century Gothic"/>
                <w:color w:val="000000"/>
                <w:lang w:val="en-US"/>
              </w:rPr>
            </w:pPr>
            <w:r w:rsidRPr="006848C4">
              <w:rPr>
                <w:rFonts w:ascii="Century Gothic" w:eastAsia="Century Gothic" w:hAnsi="Century Gothic" w:cs="Century Gothic"/>
                <w:color w:val="000000"/>
                <w:lang w:val="en-US"/>
              </w:rPr>
              <w:t>Imitation-drill sequence linked to both technical mastery and self-confidence/character internalization</w:t>
            </w:r>
          </w:p>
        </w:tc>
      </w:tr>
    </w:tbl>
    <w:p w14:paraId="5B2A5C71" w14:textId="77777777" w:rsidR="006848C4" w:rsidRDefault="006848C4" w:rsidP="006848C4">
      <w:pPr>
        <w:pBdr>
          <w:top w:val="nil"/>
          <w:left w:val="nil"/>
          <w:bottom w:val="nil"/>
          <w:right w:val="nil"/>
          <w:between w:val="nil"/>
        </w:pBdr>
        <w:jc w:val="both"/>
        <w:rPr>
          <w:rFonts w:ascii="Century Gothic" w:eastAsia="Century Gothic" w:hAnsi="Century Gothic" w:cs="Century Gothic"/>
          <w:color w:val="000000"/>
          <w:lang w:val="en-US"/>
        </w:rPr>
      </w:pPr>
    </w:p>
    <w:p w14:paraId="6496FF89" w14:textId="235005C1" w:rsidR="006848C4" w:rsidRPr="006848C4" w:rsidRDefault="006848C4" w:rsidP="006848C4">
      <w:pPr>
        <w:pBdr>
          <w:top w:val="nil"/>
          <w:left w:val="nil"/>
          <w:bottom w:val="nil"/>
          <w:right w:val="nil"/>
          <w:between w:val="nil"/>
        </w:pBdr>
        <w:ind w:left="2268" w:firstLine="566"/>
        <w:jc w:val="both"/>
        <w:rPr>
          <w:rFonts w:ascii="Century Gothic" w:eastAsia="Century Gothic" w:hAnsi="Century Gothic" w:cs="Century Gothic"/>
          <w:color w:val="000000"/>
          <w:lang w:val="en-US"/>
        </w:rPr>
      </w:pPr>
      <w:r w:rsidRPr="006848C4">
        <w:rPr>
          <w:rFonts w:ascii="Century Gothic" w:eastAsia="Century Gothic" w:hAnsi="Century Gothic" w:cs="Century Gothic"/>
          <w:color w:val="000000"/>
          <w:lang w:val="en-US"/>
        </w:rPr>
        <w:t>As shown in Table 2, prior studies have predominantly examined imitation and drill methods through the lens of technical outcomes, such as precision, synchronization, and movement accuracy. The present study extends this line of inquiry by situating these methods within a broader outcome space that includes students' psychological readiness to perform and their internalization of narrative-based character values, an emphasis less commonly foregrounded in the existing literature on dance-technique pedagogy.</w:t>
      </w:r>
    </w:p>
    <w:p w14:paraId="78F16266" w14:textId="783741EC" w:rsidR="006848C4" w:rsidRDefault="006848C4" w:rsidP="006848C4">
      <w:pPr>
        <w:pBdr>
          <w:top w:val="nil"/>
          <w:left w:val="nil"/>
          <w:bottom w:val="nil"/>
          <w:right w:val="nil"/>
          <w:between w:val="nil"/>
        </w:pBdr>
        <w:ind w:left="2268" w:firstLine="566"/>
        <w:jc w:val="both"/>
        <w:rPr>
          <w:rFonts w:ascii="Century Gothic" w:eastAsia="Century Gothic" w:hAnsi="Century Gothic" w:cs="Century Gothic"/>
          <w:color w:val="000000"/>
          <w:lang w:val="en-US"/>
        </w:rPr>
      </w:pPr>
      <w:r w:rsidRPr="00206075">
        <w:rPr>
          <w:rFonts w:ascii="Century Gothic" w:eastAsia="Century Gothic" w:hAnsi="Century Gothic" w:cs="Century Gothic"/>
          <w:color w:val="000000"/>
          <w:lang w:val="en-US"/>
        </w:rPr>
        <w:lastRenderedPageBreak/>
        <w:t>The findings of this study affirm that imitation and drill, while theoretically distinct in their psychological mechanisms, function most effectively when applied in a complementary and sequential manner rather than as isolated techniques. This pattern is consistent with the theoretical framework of observational learning, which holds that skill acquisition typically begins with attentional and retentional processes</w:t>
      </w:r>
      <w:r>
        <w:rPr>
          <w:rFonts w:ascii="Century Gothic" w:eastAsia="Century Gothic" w:hAnsi="Century Gothic" w:cs="Century Gothic"/>
          <w:color w:val="000000"/>
          <w:lang w:val="en-US"/>
        </w:rPr>
        <w:t xml:space="preserve"> </w:t>
      </w:r>
      <w:r w:rsidRPr="00206075">
        <w:rPr>
          <w:rFonts w:ascii="Century Gothic" w:eastAsia="Century Gothic" w:hAnsi="Century Gothic" w:cs="Century Gothic"/>
          <w:color w:val="000000"/>
          <w:lang w:val="en-US"/>
        </w:rPr>
        <w:t>students observing and mentally encoding a modeled movement</w:t>
      </w:r>
      <w:r>
        <w:rPr>
          <w:rFonts w:ascii="Century Gothic" w:eastAsia="Century Gothic" w:hAnsi="Century Gothic" w:cs="Century Gothic"/>
          <w:color w:val="000000"/>
          <w:lang w:val="en-US"/>
        </w:rPr>
        <w:t xml:space="preserve"> </w:t>
      </w:r>
      <w:r w:rsidRPr="00206075">
        <w:rPr>
          <w:rFonts w:ascii="Century Gothic" w:eastAsia="Century Gothic" w:hAnsi="Century Gothic" w:cs="Century Gothic"/>
          <w:color w:val="000000"/>
          <w:lang w:val="en-US"/>
        </w:rPr>
        <w:t xml:space="preserve">before progressing to reproduction and, ultimately, motivational reinforcement through practice and feedback (Bandura, 1977). In the case of </w:t>
      </w:r>
      <w:proofErr w:type="spellStart"/>
      <w:r w:rsidRPr="00206075">
        <w:rPr>
          <w:rFonts w:ascii="Century Gothic" w:eastAsia="Century Gothic" w:hAnsi="Century Gothic" w:cs="Century Gothic"/>
          <w:i/>
          <w:iCs/>
          <w:color w:val="000000"/>
          <w:lang w:val="en-US"/>
        </w:rPr>
        <w:t>Wanci</w:t>
      </w:r>
      <w:proofErr w:type="spellEnd"/>
      <w:r w:rsidRPr="00206075">
        <w:rPr>
          <w:rFonts w:ascii="Century Gothic" w:eastAsia="Century Gothic" w:hAnsi="Century Gothic" w:cs="Century Gothic"/>
          <w:i/>
          <w:iCs/>
          <w:color w:val="000000"/>
          <w:lang w:val="en-US"/>
        </w:rPr>
        <w:t xml:space="preserve"> </w:t>
      </w:r>
      <w:proofErr w:type="spellStart"/>
      <w:r w:rsidRPr="00206075">
        <w:rPr>
          <w:rFonts w:ascii="Century Gothic" w:eastAsia="Century Gothic" w:hAnsi="Century Gothic" w:cs="Century Gothic"/>
          <w:i/>
          <w:iCs/>
          <w:color w:val="000000"/>
          <w:lang w:val="en-US"/>
        </w:rPr>
        <w:t>Kahuripan</w:t>
      </w:r>
      <w:proofErr w:type="spellEnd"/>
      <w:r w:rsidRPr="00206075">
        <w:rPr>
          <w:rFonts w:ascii="Century Gothic" w:eastAsia="Century Gothic" w:hAnsi="Century Gothic" w:cs="Century Gothic"/>
          <w:color w:val="000000"/>
          <w:lang w:val="en-US"/>
        </w:rPr>
        <w:t xml:space="preserve"> dance learning, the imitation stage corresponded closely to the attentional and retentional phases, as students relied on direct visual demonstration by the instructor to form an initial mental representation of each movement sequence. The subsequent drill stage then aligned with the reproduction and reinforcement phases, in which repeated physical practice</w:t>
      </w:r>
      <w:r>
        <w:rPr>
          <w:rFonts w:ascii="Century Gothic" w:eastAsia="Century Gothic" w:hAnsi="Century Gothic" w:cs="Century Gothic"/>
          <w:color w:val="000000"/>
          <w:lang w:val="en-US"/>
        </w:rPr>
        <w:t xml:space="preserve"> </w:t>
      </w:r>
      <w:r w:rsidRPr="00206075">
        <w:rPr>
          <w:rFonts w:ascii="Century Gothic" w:eastAsia="Century Gothic" w:hAnsi="Century Gothic" w:cs="Century Gothic"/>
          <w:color w:val="000000"/>
          <w:lang w:val="en-US"/>
        </w:rPr>
        <w:t>supported by the instructor's continuous evaluation</w:t>
      </w:r>
      <w:r>
        <w:rPr>
          <w:rFonts w:ascii="Century Gothic" w:eastAsia="Century Gothic" w:hAnsi="Century Gothic" w:cs="Century Gothic"/>
          <w:color w:val="000000"/>
          <w:lang w:val="en-US"/>
        </w:rPr>
        <w:t xml:space="preserve"> </w:t>
      </w:r>
      <w:r w:rsidRPr="00206075">
        <w:rPr>
          <w:rFonts w:ascii="Century Gothic" w:eastAsia="Century Gothic" w:hAnsi="Century Gothic" w:cs="Century Gothic"/>
          <w:color w:val="000000"/>
          <w:lang w:val="en-US"/>
        </w:rPr>
        <w:t>gradually transformed an initially imitated movement into an internalized, fluent motor pattern. This progression is consistent with behaviorist accounts of skill consolidation, in which consistent repetition paired with corrective feedback strengthens the accuracy and automaticity of a learned response (Skinner, 1953; Thorndike, 1932).</w:t>
      </w:r>
    </w:p>
    <w:p w14:paraId="7214881D" w14:textId="301CB1E9" w:rsidR="00F3603B" w:rsidRDefault="00F3603B" w:rsidP="006848C4">
      <w:pPr>
        <w:pBdr>
          <w:top w:val="nil"/>
          <w:left w:val="nil"/>
          <w:bottom w:val="nil"/>
          <w:right w:val="nil"/>
          <w:between w:val="nil"/>
        </w:pBdr>
        <w:ind w:left="2268" w:firstLine="566"/>
        <w:jc w:val="both"/>
        <w:rPr>
          <w:rFonts w:ascii="Century Gothic" w:eastAsia="Century Gothic" w:hAnsi="Century Gothic" w:cs="Century Gothic"/>
          <w:color w:val="000000"/>
          <w:lang w:val="en-US"/>
        </w:rPr>
      </w:pPr>
      <w:r w:rsidRPr="00F3603B">
        <w:rPr>
          <w:rFonts w:ascii="Century Gothic" w:eastAsia="Century Gothic" w:hAnsi="Century Gothic" w:cs="Century Gothic"/>
          <w:color w:val="000000"/>
        </w:rPr>
        <w:t>Another important finding concerns the role of continuous formative assessment throughout the rehearsal process. Rather than functioning merely as a tool for measuring achievement, evaluation became an integral component of instruction, enabling immediate correction and progressive refinement of movement quality. This observation suggests that assessment operated simultaneously as a learning strategy and a motivational mechanism supporting sustained improvement. The integration of formative assessment into every rehearsal session also reinforced the effectiveness of both imitation and drill methods, as students were able to receive immediate feedback, correct movement errors, and gradually improve their technical performance before progressing to more complex movement sequences.</w:t>
      </w:r>
    </w:p>
    <w:p w14:paraId="2489258E" w14:textId="55E44709" w:rsidR="00206075" w:rsidRPr="00206075" w:rsidRDefault="00206075" w:rsidP="00206075">
      <w:pPr>
        <w:pBdr>
          <w:top w:val="nil"/>
          <w:left w:val="nil"/>
          <w:bottom w:val="nil"/>
          <w:right w:val="nil"/>
          <w:between w:val="nil"/>
        </w:pBdr>
        <w:ind w:left="2268" w:firstLine="566"/>
        <w:jc w:val="both"/>
        <w:rPr>
          <w:rFonts w:ascii="Century Gothic" w:eastAsia="Century Gothic" w:hAnsi="Century Gothic" w:cs="Century Gothic"/>
          <w:color w:val="000000"/>
          <w:lang w:val="en-US"/>
        </w:rPr>
      </w:pPr>
      <w:r w:rsidRPr="00206075">
        <w:rPr>
          <w:rFonts w:ascii="Century Gothic" w:eastAsia="Century Gothic" w:hAnsi="Century Gothic" w:cs="Century Gothic"/>
          <w:color w:val="000000"/>
          <w:lang w:val="en-US"/>
        </w:rPr>
        <w:t>These findings also corroborate recent empirical work on drill and imitation in traditional dance reconstruction, which similarly found that drill methods contribute more directly to precision, tempo accuracy, and synchronization, while imitation methods are more instrumental in building initial technical understanding (</w:t>
      </w:r>
      <w:proofErr w:type="spellStart"/>
      <w:r w:rsidRPr="00206075">
        <w:rPr>
          <w:rFonts w:ascii="Century Gothic" w:eastAsia="Century Gothic" w:hAnsi="Century Gothic" w:cs="Century Gothic"/>
          <w:color w:val="000000"/>
          <w:lang w:val="en-US"/>
        </w:rPr>
        <w:t>Hariswari</w:t>
      </w:r>
      <w:proofErr w:type="spellEnd"/>
      <w:r w:rsidRPr="00206075">
        <w:rPr>
          <w:rFonts w:ascii="Century Gothic" w:eastAsia="Century Gothic" w:hAnsi="Century Gothic" w:cs="Century Gothic"/>
          <w:color w:val="000000"/>
          <w:lang w:val="en-US"/>
        </w:rPr>
        <w:t xml:space="preserve"> &amp; Sape, 2025). The present study extends this understanding by demonstrating that, beyond precision and synchronization, the sequential application of these two methods also contributes to a third outcome rarely foregrounded in prior dance-pedagogy research: the development of students' self-confidence as performers. This suggests that the behavioral consolidation achieved through drill practice does not remain confined to motor competence alone but appears to generalize into students' psychological readiness to perform publicly</w:t>
      </w:r>
      <w:r w:rsidR="006848C4">
        <w:rPr>
          <w:rFonts w:ascii="Century Gothic" w:eastAsia="Century Gothic" w:hAnsi="Century Gothic" w:cs="Century Gothic"/>
          <w:color w:val="000000"/>
          <w:lang w:val="en-US"/>
        </w:rPr>
        <w:t xml:space="preserve"> </w:t>
      </w:r>
      <w:r w:rsidRPr="00206075">
        <w:rPr>
          <w:rFonts w:ascii="Century Gothic" w:eastAsia="Century Gothic" w:hAnsi="Century Gothic" w:cs="Century Gothic"/>
          <w:color w:val="000000"/>
          <w:lang w:val="en-US"/>
        </w:rPr>
        <w:t>an outcome that is particularly consequential in an extracurricular context where public performance functions as both a learning objective and a form of cultural advocacy.</w:t>
      </w:r>
    </w:p>
    <w:p w14:paraId="3C7270A2" w14:textId="77777777" w:rsidR="00206075" w:rsidRPr="00206075" w:rsidRDefault="00206075" w:rsidP="00206075">
      <w:pPr>
        <w:pBdr>
          <w:top w:val="nil"/>
          <w:left w:val="nil"/>
          <w:bottom w:val="nil"/>
          <w:right w:val="nil"/>
          <w:between w:val="nil"/>
        </w:pBdr>
        <w:ind w:left="2268" w:firstLine="566"/>
        <w:jc w:val="both"/>
        <w:rPr>
          <w:rFonts w:ascii="Century Gothic" w:eastAsia="Century Gothic" w:hAnsi="Century Gothic" w:cs="Century Gothic"/>
          <w:color w:val="000000"/>
          <w:lang w:val="en-US"/>
        </w:rPr>
      </w:pPr>
      <w:r w:rsidRPr="00206075">
        <w:rPr>
          <w:rFonts w:ascii="Century Gothic" w:eastAsia="Century Gothic" w:hAnsi="Century Gothic" w:cs="Century Gothic"/>
          <w:color w:val="000000"/>
          <w:lang w:val="en-US"/>
        </w:rPr>
        <w:t>A distinctive feature identified in this study, and one that appears less emphasized in comparable literature on traditional dance extracurricular programs, is the instructor's deliberate integration of a personalized, student-centered approach alongside the technically oriented imitation and drill methods. While the continuous, session-by-</w:t>
      </w:r>
      <w:r w:rsidRPr="00206075">
        <w:rPr>
          <w:rFonts w:ascii="Century Gothic" w:eastAsia="Century Gothic" w:hAnsi="Century Gothic" w:cs="Century Gothic"/>
          <w:color w:val="000000"/>
          <w:lang w:val="en-US"/>
        </w:rPr>
        <w:lastRenderedPageBreak/>
        <w:t>session evaluation process reflects a structured, outcome-driven pedagogical design, the accompanying attention to individual students' comfort suggests that the instructor's practice extends beyond a purely behaviorist model of stimulus-response training. This finding resonates with the broader understanding in dance pedagogy that effective demonstration-reproduction teaching is not a purely mechanical transaction, but a relational process shaped by the ongoing interaction between teacher and student (</w:t>
      </w:r>
      <w:proofErr w:type="spellStart"/>
      <w:r w:rsidRPr="00206075">
        <w:rPr>
          <w:rFonts w:ascii="Century Gothic" w:eastAsia="Century Gothic" w:hAnsi="Century Gothic" w:cs="Century Gothic"/>
          <w:color w:val="000000"/>
          <w:lang w:val="en-US"/>
        </w:rPr>
        <w:t>Harbonnier-Topin</w:t>
      </w:r>
      <w:proofErr w:type="spellEnd"/>
      <w:r w:rsidRPr="00206075">
        <w:rPr>
          <w:rFonts w:ascii="Century Gothic" w:eastAsia="Century Gothic" w:hAnsi="Century Gothic" w:cs="Century Gothic"/>
          <w:color w:val="000000"/>
          <w:lang w:val="en-US"/>
        </w:rPr>
        <w:t xml:space="preserve"> &amp; Barbier, 2014). In the context of this study, that relational dimension appears to function as a moderating factor that supports students' willingness to persist through the demanding repetition inherent to the drill method, without which the technical gains documented in the Results section may have been more difficult to sustain.</w:t>
      </w:r>
    </w:p>
    <w:p w14:paraId="0D57CB99" w14:textId="01DC35EA" w:rsidR="00206075" w:rsidRPr="00206075" w:rsidRDefault="00206075" w:rsidP="00206075">
      <w:pPr>
        <w:pBdr>
          <w:top w:val="nil"/>
          <w:left w:val="nil"/>
          <w:bottom w:val="nil"/>
          <w:right w:val="nil"/>
          <w:between w:val="nil"/>
        </w:pBdr>
        <w:ind w:left="2268" w:firstLine="566"/>
        <w:jc w:val="both"/>
        <w:rPr>
          <w:rFonts w:ascii="Century Gothic" w:eastAsia="Century Gothic" w:hAnsi="Century Gothic" w:cs="Century Gothic"/>
          <w:color w:val="000000"/>
          <w:lang w:val="en-US"/>
        </w:rPr>
      </w:pPr>
      <w:r w:rsidRPr="00206075">
        <w:rPr>
          <w:rFonts w:ascii="Century Gothic" w:eastAsia="Century Gothic" w:hAnsi="Century Gothic" w:cs="Century Gothic"/>
          <w:color w:val="000000"/>
          <w:lang w:val="en-US"/>
        </w:rPr>
        <w:t xml:space="preserve">The internalization of the narrative values embedded in </w:t>
      </w:r>
      <w:proofErr w:type="spellStart"/>
      <w:r w:rsidRPr="00206075">
        <w:rPr>
          <w:rFonts w:ascii="Century Gothic" w:eastAsia="Century Gothic" w:hAnsi="Century Gothic" w:cs="Century Gothic"/>
          <w:i/>
          <w:iCs/>
          <w:color w:val="000000"/>
          <w:lang w:val="en-US"/>
        </w:rPr>
        <w:t>Wanci</w:t>
      </w:r>
      <w:proofErr w:type="spellEnd"/>
      <w:r w:rsidRPr="00206075">
        <w:rPr>
          <w:rFonts w:ascii="Century Gothic" w:eastAsia="Century Gothic" w:hAnsi="Century Gothic" w:cs="Century Gothic"/>
          <w:i/>
          <w:iCs/>
          <w:color w:val="000000"/>
          <w:lang w:val="en-US"/>
        </w:rPr>
        <w:t xml:space="preserve"> </w:t>
      </w:r>
      <w:proofErr w:type="spellStart"/>
      <w:r w:rsidRPr="00206075">
        <w:rPr>
          <w:rFonts w:ascii="Century Gothic" w:eastAsia="Century Gothic" w:hAnsi="Century Gothic" w:cs="Century Gothic"/>
          <w:i/>
          <w:iCs/>
          <w:color w:val="000000"/>
          <w:lang w:val="en-US"/>
        </w:rPr>
        <w:t>Kahuripan</w:t>
      </w:r>
      <w:proofErr w:type="spellEnd"/>
      <w:r w:rsidR="006848C4">
        <w:rPr>
          <w:rFonts w:ascii="Century Gothic" w:eastAsia="Century Gothic" w:hAnsi="Century Gothic" w:cs="Century Gothic"/>
          <w:color w:val="000000"/>
          <w:lang w:val="en-US"/>
        </w:rPr>
        <w:t xml:space="preserve"> </w:t>
      </w:r>
      <w:r w:rsidRPr="00206075">
        <w:rPr>
          <w:rFonts w:ascii="Century Gothic" w:eastAsia="Century Gothic" w:hAnsi="Century Gothic" w:cs="Century Gothic"/>
          <w:color w:val="000000"/>
          <w:lang w:val="en-US"/>
        </w:rPr>
        <w:t>particularly the perseverance and resilience attributed to the figure of Mbah Semi</w:t>
      </w:r>
      <w:r w:rsidR="006848C4">
        <w:rPr>
          <w:rFonts w:ascii="Century Gothic" w:eastAsia="Century Gothic" w:hAnsi="Century Gothic" w:cs="Century Gothic"/>
          <w:color w:val="000000"/>
          <w:lang w:val="en-US"/>
        </w:rPr>
        <w:t xml:space="preserve"> </w:t>
      </w:r>
      <w:r w:rsidRPr="00206075">
        <w:rPr>
          <w:rFonts w:ascii="Century Gothic" w:eastAsia="Century Gothic" w:hAnsi="Century Gothic" w:cs="Century Gothic"/>
          <w:color w:val="000000"/>
          <w:lang w:val="en-US"/>
        </w:rPr>
        <w:t>further distinguishes this case from studies that examine imitation and drill purely as technical training methods. The explicit alignment between the dance's narrative content and the character values the instructor sought to cultivate suggests an intentional pedagogical design in which technical mastery (</w:t>
      </w:r>
      <w:proofErr w:type="spellStart"/>
      <w:r w:rsidRPr="00206075">
        <w:rPr>
          <w:rFonts w:ascii="Century Gothic" w:eastAsia="Century Gothic" w:hAnsi="Century Gothic" w:cs="Century Gothic"/>
          <w:i/>
          <w:iCs/>
          <w:color w:val="000000"/>
          <w:lang w:val="en-US"/>
        </w:rPr>
        <w:t>wiraga</w:t>
      </w:r>
      <w:proofErr w:type="spellEnd"/>
      <w:r w:rsidRPr="00206075">
        <w:rPr>
          <w:rFonts w:ascii="Century Gothic" w:eastAsia="Century Gothic" w:hAnsi="Century Gothic" w:cs="Century Gothic"/>
          <w:color w:val="000000"/>
          <w:lang w:val="en-US"/>
        </w:rPr>
        <w:t>) is treated as inseparable from emotional and moral comprehension (</w:t>
      </w:r>
      <w:proofErr w:type="spellStart"/>
      <w:r w:rsidRPr="00206075">
        <w:rPr>
          <w:rFonts w:ascii="Century Gothic" w:eastAsia="Century Gothic" w:hAnsi="Century Gothic" w:cs="Century Gothic"/>
          <w:i/>
          <w:iCs/>
          <w:color w:val="000000"/>
          <w:lang w:val="en-US"/>
        </w:rPr>
        <w:t>wirasa</w:t>
      </w:r>
      <w:proofErr w:type="spellEnd"/>
      <w:r w:rsidRPr="00206075">
        <w:rPr>
          <w:rFonts w:ascii="Century Gothic" w:eastAsia="Century Gothic" w:hAnsi="Century Gothic" w:cs="Century Gothic"/>
          <w:color w:val="000000"/>
          <w:lang w:val="en-US"/>
        </w:rPr>
        <w:t>). This dual orientation echoes findings from other extracurricular dance research emphasizing the role of such programs in supporting students' creative and expressive development alongside technical skill (</w:t>
      </w:r>
      <w:proofErr w:type="spellStart"/>
      <w:r w:rsidRPr="00206075">
        <w:rPr>
          <w:rFonts w:ascii="Century Gothic" w:eastAsia="Century Gothic" w:hAnsi="Century Gothic" w:cs="Century Gothic"/>
          <w:color w:val="000000"/>
          <w:lang w:val="en-US"/>
        </w:rPr>
        <w:t>Priskila</w:t>
      </w:r>
      <w:proofErr w:type="spellEnd"/>
      <w:r w:rsidRPr="00206075">
        <w:rPr>
          <w:rFonts w:ascii="Century Gothic" w:eastAsia="Century Gothic" w:hAnsi="Century Gothic" w:cs="Century Gothic"/>
          <w:color w:val="000000"/>
          <w:lang w:val="en-US"/>
        </w:rPr>
        <w:t>, 2026), while also aligning with the broader recognition in Indonesian traditional arts education that dance functions simultaneously as an aesthetic and a moral-pedagogical medium.</w:t>
      </w:r>
    </w:p>
    <w:p w14:paraId="7C2A70C3" w14:textId="7232DBD5" w:rsidR="00206075" w:rsidRDefault="00206075" w:rsidP="00206075">
      <w:pPr>
        <w:pBdr>
          <w:top w:val="nil"/>
          <w:left w:val="nil"/>
          <w:bottom w:val="nil"/>
          <w:right w:val="nil"/>
          <w:between w:val="nil"/>
        </w:pBdr>
        <w:ind w:left="2268" w:firstLine="566"/>
        <w:jc w:val="both"/>
        <w:rPr>
          <w:rFonts w:ascii="Century Gothic" w:eastAsia="Century Gothic" w:hAnsi="Century Gothic" w:cs="Century Gothic"/>
          <w:color w:val="000000"/>
          <w:lang w:val="en-US"/>
        </w:rPr>
      </w:pPr>
      <w:r w:rsidRPr="00206075">
        <w:rPr>
          <w:rFonts w:ascii="Century Gothic" w:eastAsia="Century Gothic" w:hAnsi="Century Gothic" w:cs="Century Gothic"/>
          <w:color w:val="000000"/>
          <w:lang w:val="en-US"/>
        </w:rPr>
        <w:t>Finally, the students' expanding participation in performances beyond the school environment</w:t>
      </w:r>
      <w:r w:rsidR="006848C4">
        <w:rPr>
          <w:rFonts w:ascii="Century Gothic" w:eastAsia="Century Gothic" w:hAnsi="Century Gothic" w:cs="Century Gothic"/>
          <w:color w:val="000000"/>
          <w:lang w:val="en-US"/>
        </w:rPr>
        <w:t xml:space="preserve"> </w:t>
      </w:r>
      <w:r w:rsidRPr="00206075">
        <w:rPr>
          <w:rFonts w:ascii="Century Gothic" w:eastAsia="Century Gothic" w:hAnsi="Century Gothic" w:cs="Century Gothic"/>
          <w:color w:val="000000"/>
          <w:lang w:val="en-US"/>
        </w:rPr>
        <w:t>including a regional Independence Day commemoration and a formal cultural exhibition opening</w:t>
      </w:r>
      <w:r w:rsidR="006848C4">
        <w:rPr>
          <w:rFonts w:ascii="Century Gothic" w:eastAsia="Century Gothic" w:hAnsi="Century Gothic" w:cs="Century Gothic"/>
          <w:color w:val="000000"/>
          <w:lang w:val="en-US"/>
        </w:rPr>
        <w:t xml:space="preserve"> </w:t>
      </w:r>
      <w:r w:rsidRPr="00206075">
        <w:rPr>
          <w:rFonts w:ascii="Century Gothic" w:eastAsia="Century Gothic" w:hAnsi="Century Gothic" w:cs="Century Gothic"/>
          <w:color w:val="000000"/>
          <w:lang w:val="en-US"/>
        </w:rPr>
        <w:t>provides external validation of the internal learning outcomes described above. These performance opportunities functioned not merely as showcases of technical competence but as authentic contexts in which students' self-confidence, cultivated through the evaluative and drill-based training process, could be tested and further reinforced. This outward-facing dimension also situates the Sekar Arum extracurricular program within a broader function identified in traditional dance scholarship: that school-based dance programs serve not only an internal pedagogical purpose but also a community-facing role in sustaining and disseminating local cultural heritage to wider audiences.</w:t>
      </w:r>
    </w:p>
    <w:p w14:paraId="71357F95" w14:textId="01C5109C" w:rsidR="006848C4" w:rsidRPr="00206075" w:rsidRDefault="006848C4" w:rsidP="00206075">
      <w:pPr>
        <w:pBdr>
          <w:top w:val="nil"/>
          <w:left w:val="nil"/>
          <w:bottom w:val="nil"/>
          <w:right w:val="nil"/>
          <w:between w:val="nil"/>
        </w:pBdr>
        <w:ind w:left="2268" w:firstLine="566"/>
        <w:jc w:val="both"/>
        <w:rPr>
          <w:rFonts w:ascii="Century Gothic" w:eastAsia="Century Gothic" w:hAnsi="Century Gothic" w:cs="Century Gothic"/>
          <w:color w:val="000000"/>
          <w:lang w:val="en-US"/>
        </w:rPr>
      </w:pPr>
      <w:r w:rsidRPr="006848C4">
        <w:rPr>
          <w:rFonts w:ascii="Century Gothic" w:eastAsia="Century Gothic" w:hAnsi="Century Gothic" w:cs="Century Gothic"/>
          <w:color w:val="000000"/>
        </w:rPr>
        <w:t xml:space="preserve">It is also worth considering the broader institutional function that this case illustrates. As a relatively young extracurricular program, Sekar Arum's growing reputation, evidenced by its selection for high-visibility public events such as a regional Independence Day commemoration, suggests that the pedagogical approach documented in this study has produced outcomes recognizable not only within the school but also by external community stakeholders. This external validation carries implications beyond individual student development: it positions the dance extracurricular program as an active agent in regional cultural preservation efforts, contributing to the continued visibility of traditional dance forms such as </w:t>
      </w:r>
      <w:r w:rsidRPr="006848C4">
        <w:rPr>
          <w:rFonts w:ascii="Century Gothic" w:eastAsia="Century Gothic" w:hAnsi="Century Gothic" w:cs="Century Gothic"/>
          <w:i/>
          <w:iCs/>
          <w:color w:val="000000"/>
        </w:rPr>
        <w:t>Warak Dugder</w:t>
      </w:r>
      <w:r w:rsidRPr="006848C4">
        <w:rPr>
          <w:rFonts w:ascii="Century Gothic" w:eastAsia="Century Gothic" w:hAnsi="Century Gothic" w:cs="Century Gothic"/>
          <w:color w:val="000000"/>
        </w:rPr>
        <w:t xml:space="preserve"> and </w:t>
      </w:r>
      <w:r w:rsidRPr="006848C4">
        <w:rPr>
          <w:rFonts w:ascii="Century Gothic" w:eastAsia="Century Gothic" w:hAnsi="Century Gothic" w:cs="Century Gothic"/>
          <w:i/>
          <w:iCs/>
          <w:color w:val="000000"/>
        </w:rPr>
        <w:t>Bedaya Putri Mojosakti</w:t>
      </w:r>
      <w:r w:rsidRPr="006848C4">
        <w:rPr>
          <w:rFonts w:ascii="Century Gothic" w:eastAsia="Century Gothic" w:hAnsi="Century Gothic" w:cs="Century Gothic"/>
          <w:color w:val="000000"/>
        </w:rPr>
        <w:t xml:space="preserve"> within contemporary public life. In this sense, the imitation and drill methods examined in this study should be understood not merely as classroom teaching techniques, but as </w:t>
      </w:r>
      <w:r w:rsidRPr="006848C4">
        <w:rPr>
          <w:rFonts w:ascii="Century Gothic" w:eastAsia="Century Gothic" w:hAnsi="Century Gothic" w:cs="Century Gothic"/>
          <w:color w:val="000000"/>
        </w:rPr>
        <w:lastRenderedPageBreak/>
        <w:t>pedagogical tools situated within a larger ecosystem of cultural transmission, one in which schools function as active custodians of local performing arts traditions alongside community art studios and government cultural institutions.</w:t>
      </w:r>
    </w:p>
    <w:p w14:paraId="4161E8E6" w14:textId="77777777" w:rsidR="00206075" w:rsidRPr="00206075" w:rsidRDefault="00206075" w:rsidP="00206075">
      <w:pPr>
        <w:pBdr>
          <w:top w:val="nil"/>
          <w:left w:val="nil"/>
          <w:bottom w:val="nil"/>
          <w:right w:val="nil"/>
          <w:between w:val="nil"/>
        </w:pBdr>
        <w:ind w:left="2268" w:firstLine="566"/>
        <w:jc w:val="both"/>
        <w:rPr>
          <w:rFonts w:ascii="Century Gothic" w:eastAsia="Century Gothic" w:hAnsi="Century Gothic" w:cs="Century Gothic"/>
          <w:color w:val="000000"/>
          <w:lang w:val="en-US"/>
        </w:rPr>
      </w:pPr>
    </w:p>
    <w:p w14:paraId="3874FA54" w14:textId="77777777" w:rsidR="00627A8F" w:rsidRDefault="00000000">
      <w:pPr>
        <w:pStyle w:val="Heading1"/>
        <w:spacing w:before="120" w:after="120"/>
        <w:ind w:firstLine="0"/>
        <w:rPr>
          <w:rFonts w:ascii="Century Gothic" w:eastAsia="Century Gothic" w:hAnsi="Century Gothic" w:cs="Century Gothic"/>
          <w:sz w:val="22"/>
          <w:szCs w:val="22"/>
        </w:rPr>
      </w:pPr>
      <w:r>
        <w:rPr>
          <w:rFonts w:ascii="Century Gothic" w:eastAsia="Century Gothic" w:hAnsi="Century Gothic" w:cs="Century Gothic"/>
          <w:sz w:val="22"/>
          <w:szCs w:val="22"/>
        </w:rPr>
        <w:t>4. CONCLUSION</w:t>
      </w:r>
    </w:p>
    <w:p w14:paraId="17965867" w14:textId="77777777" w:rsidR="009828BB" w:rsidRDefault="00206075" w:rsidP="009828BB">
      <w:pPr>
        <w:pStyle w:val="Heading1"/>
        <w:spacing w:before="120" w:after="120"/>
        <w:ind w:left="2268" w:firstLine="566"/>
        <w:rPr>
          <w:rFonts w:ascii="Century Gothic" w:hAnsi="Century Gothic"/>
          <w:b w:val="0"/>
          <w:bCs w:val="0"/>
          <w:sz w:val="20"/>
          <w:szCs w:val="20"/>
        </w:rPr>
      </w:pPr>
      <w:r w:rsidRPr="00206075">
        <w:rPr>
          <w:rFonts w:ascii="Century Gothic" w:hAnsi="Century Gothic"/>
          <w:b w:val="0"/>
          <w:bCs w:val="0"/>
          <w:sz w:val="20"/>
          <w:szCs w:val="20"/>
        </w:rPr>
        <w:t xml:space="preserve">This study demonstrates that the imitation and drill methods, when applied in a complementary and sequentially structured manner, effectively support both the technical and psychological development of students learning </w:t>
      </w:r>
      <w:r w:rsidRPr="00206075">
        <w:rPr>
          <w:rFonts w:ascii="Century Gothic" w:hAnsi="Century Gothic"/>
          <w:b w:val="0"/>
          <w:bCs w:val="0"/>
          <w:i/>
          <w:iCs/>
          <w:sz w:val="20"/>
          <w:szCs w:val="20"/>
        </w:rPr>
        <w:t>Wanci Kahuripan</w:t>
      </w:r>
      <w:r w:rsidRPr="00206075">
        <w:rPr>
          <w:rFonts w:ascii="Century Gothic" w:hAnsi="Century Gothic"/>
          <w:b w:val="0"/>
          <w:bCs w:val="0"/>
          <w:sz w:val="20"/>
          <w:szCs w:val="20"/>
        </w:rPr>
        <w:t xml:space="preserve"> dance within the Sekar Arum extracurricular program at SMKN 1 Jetis Mojokerto. The imitation method facilitated students' initial comprehension and reproduction of movement through direct observation, while the drill method strengthened precision, tempo accuracy, and coordination through sustained repetition. Continuous, session-based evaluation combined with a personalized instructional approach contributed to a learning environment in which technical achievement was accompanied by psychological comfort and growing self-confidence. Furthermore, the deliberate integration of the historical narrative of Mbah Semi within the choreography enabled students to internalize values of perseverance and resilience, reflecting the inseparability of technical mastery (</w:t>
      </w:r>
      <w:r w:rsidRPr="00206075">
        <w:rPr>
          <w:rFonts w:ascii="Century Gothic" w:hAnsi="Century Gothic"/>
          <w:b w:val="0"/>
          <w:bCs w:val="0"/>
          <w:i/>
          <w:iCs/>
          <w:sz w:val="20"/>
          <w:szCs w:val="20"/>
        </w:rPr>
        <w:t>wiraga</w:t>
      </w:r>
      <w:r w:rsidRPr="00206075">
        <w:rPr>
          <w:rFonts w:ascii="Century Gothic" w:hAnsi="Century Gothic"/>
          <w:b w:val="0"/>
          <w:bCs w:val="0"/>
          <w:sz w:val="20"/>
          <w:szCs w:val="20"/>
        </w:rPr>
        <w:t>) and emotional-moral expressiveness (</w:t>
      </w:r>
      <w:r w:rsidRPr="00206075">
        <w:rPr>
          <w:rFonts w:ascii="Century Gothic" w:hAnsi="Century Gothic"/>
          <w:b w:val="0"/>
          <w:bCs w:val="0"/>
          <w:i/>
          <w:iCs/>
          <w:sz w:val="20"/>
          <w:szCs w:val="20"/>
        </w:rPr>
        <w:t>wirasa</w:t>
      </w:r>
      <w:r w:rsidRPr="00206075">
        <w:rPr>
          <w:rFonts w:ascii="Century Gothic" w:hAnsi="Century Gothic"/>
          <w:b w:val="0"/>
          <w:bCs w:val="0"/>
          <w:sz w:val="20"/>
          <w:szCs w:val="20"/>
        </w:rPr>
        <w:t>) in traditional dance learning. The tangible outcomes of this learning process were further affirmed through students' participation in public performances, which served both as evidence of technical readiness and as a means of cultural preservation and dissemination. These findings suggest that future traditional dance extracurricular programs may benefit from deliberately pairing structured, repetition-based technical training with personalized instructional relationships and narratively grounded choreographic content to support holistic student development.</w:t>
      </w:r>
    </w:p>
    <w:p w14:paraId="12260AF3" w14:textId="27012573" w:rsidR="009828BB" w:rsidRPr="009828BB" w:rsidRDefault="009828BB" w:rsidP="009828BB">
      <w:pPr>
        <w:pStyle w:val="Heading1"/>
        <w:spacing w:before="120" w:after="120"/>
        <w:ind w:left="2268" w:firstLine="566"/>
        <w:rPr>
          <w:rFonts w:ascii="Century Gothic" w:hAnsi="Century Gothic"/>
          <w:b w:val="0"/>
          <w:bCs w:val="0"/>
          <w:sz w:val="12"/>
          <w:szCs w:val="12"/>
        </w:rPr>
      </w:pPr>
      <w:r w:rsidRPr="009828BB">
        <w:rPr>
          <w:rFonts w:ascii="Century Gothic" w:hAnsi="Century Gothic"/>
          <w:b w:val="0"/>
          <w:bCs w:val="0"/>
          <w:sz w:val="20"/>
          <w:szCs w:val="20"/>
        </w:rPr>
        <w:t>Although this study focused on a single extracurricular dance program, the findings provide practical implications for dance educators seeking to integrate technical instruction with character education in traditional arts learning. Future research involving multiple schools or comparative instructional designs may further clarify how different pedagogical approaches influence students' artistic, psychological, and cultural development across diverse educational contexts.</w:t>
      </w:r>
    </w:p>
    <w:p w14:paraId="1B2BD1A1" w14:textId="77777777" w:rsidR="00627A8F" w:rsidRDefault="00000000">
      <w:pPr>
        <w:pStyle w:val="Heading1"/>
        <w:spacing w:before="120" w:after="120"/>
        <w:ind w:hanging="2"/>
        <w:rPr>
          <w:rFonts w:ascii="Century Gothic" w:eastAsia="Century Gothic" w:hAnsi="Century Gothic" w:cs="Century Gothic"/>
          <w:sz w:val="20"/>
          <w:szCs w:val="20"/>
        </w:rPr>
      </w:pPr>
      <w:r>
        <w:rPr>
          <w:rFonts w:ascii="Century Gothic" w:eastAsia="Century Gothic" w:hAnsi="Century Gothic" w:cs="Century Gothic"/>
          <w:sz w:val="20"/>
          <w:szCs w:val="20"/>
        </w:rPr>
        <w:t>THANK YOU</w:t>
      </w:r>
    </w:p>
    <w:p w14:paraId="732ABBB7" w14:textId="0E2ED7E1" w:rsidR="00206075" w:rsidRDefault="00206075">
      <w:pPr>
        <w:pBdr>
          <w:top w:val="nil"/>
          <w:left w:val="nil"/>
          <w:bottom w:val="nil"/>
          <w:right w:val="nil"/>
          <w:between w:val="nil"/>
        </w:pBdr>
        <w:tabs>
          <w:tab w:val="left" w:pos="425"/>
        </w:tabs>
        <w:ind w:left="2268" w:hanging="1"/>
        <w:jc w:val="both"/>
        <w:rPr>
          <w:rFonts w:ascii="Century Gothic" w:eastAsia="Century Gothic" w:hAnsi="Century Gothic" w:cs="Century Gothic"/>
          <w:color w:val="000000"/>
        </w:rPr>
      </w:pPr>
      <w:r w:rsidRPr="00206075">
        <w:rPr>
          <w:rFonts w:ascii="Century Gothic" w:eastAsia="Century Gothic" w:hAnsi="Century Gothic" w:cs="Century Gothic"/>
          <w:color w:val="000000"/>
        </w:rPr>
        <w:t>The author would like to express sincere gratitude to Ibu Rudyana Narastiti, S.Pd., as the coach of the Sekar Arum dance extracurricular program at SMKN 1 Jetis Mojokerto, for her willingness to participate as the primary informant in this study, as well as to the students of the Sekar Arum extracurricular program for their cooperation during the data collection process.</w:t>
      </w:r>
    </w:p>
    <w:p w14:paraId="0FD1904A" w14:textId="77777777" w:rsidR="00627A8F" w:rsidRDefault="00000000">
      <w:pPr>
        <w:pStyle w:val="Heading1"/>
        <w:spacing w:before="120" w:after="120"/>
        <w:ind w:hanging="2"/>
        <w:rPr>
          <w:rFonts w:ascii="Century Gothic" w:eastAsia="Century Gothic" w:hAnsi="Century Gothic" w:cs="Century Gothic"/>
          <w:sz w:val="22"/>
          <w:szCs w:val="22"/>
        </w:rPr>
      </w:pPr>
      <w:r>
        <w:rPr>
          <w:rFonts w:ascii="Century Gothic" w:eastAsia="Century Gothic" w:hAnsi="Century Gothic" w:cs="Century Gothic"/>
          <w:sz w:val="22"/>
          <w:szCs w:val="22"/>
        </w:rPr>
        <w:t>REFERENCE</w:t>
      </w:r>
    </w:p>
    <w:p w14:paraId="2F2EA6FA" w14:textId="77777777" w:rsidR="007B1517" w:rsidRDefault="007B1517" w:rsidP="007B1517">
      <w:pPr>
        <w:pBdr>
          <w:top w:val="nil"/>
          <w:left w:val="nil"/>
          <w:bottom w:val="nil"/>
          <w:right w:val="nil"/>
          <w:between w:val="nil"/>
        </w:pBdr>
        <w:ind w:left="2835" w:hanging="566"/>
        <w:jc w:val="both"/>
        <w:rPr>
          <w:rFonts w:ascii="Century Gothic" w:eastAsia="Century Gothic" w:hAnsi="Century Gothic" w:cs="Century Gothic"/>
          <w:color w:val="000000"/>
          <w:lang w:val="en-US"/>
        </w:rPr>
      </w:pPr>
      <w:r w:rsidRPr="007B1517">
        <w:rPr>
          <w:rFonts w:ascii="Century Gothic" w:eastAsia="Century Gothic" w:hAnsi="Century Gothic" w:cs="Century Gothic"/>
          <w:color w:val="000000"/>
          <w:lang w:val="en-US"/>
        </w:rPr>
        <w:t xml:space="preserve">Bandura, A. (1977). </w:t>
      </w:r>
      <w:r w:rsidRPr="007B1517">
        <w:rPr>
          <w:rFonts w:ascii="Century Gothic" w:eastAsia="Century Gothic" w:hAnsi="Century Gothic" w:cs="Century Gothic"/>
          <w:i/>
          <w:iCs/>
          <w:color w:val="000000"/>
          <w:lang w:val="en-US"/>
        </w:rPr>
        <w:t>Social learning theory</w:t>
      </w:r>
      <w:r w:rsidRPr="007B1517">
        <w:rPr>
          <w:rFonts w:ascii="Century Gothic" w:eastAsia="Century Gothic" w:hAnsi="Century Gothic" w:cs="Century Gothic"/>
          <w:color w:val="000000"/>
          <w:lang w:val="en-US"/>
        </w:rPr>
        <w:t>. Prentice-Hall.</w:t>
      </w:r>
    </w:p>
    <w:p w14:paraId="222432E7" w14:textId="23E3AE01" w:rsidR="009828BB" w:rsidRPr="007B1517" w:rsidRDefault="009828BB" w:rsidP="007B1517">
      <w:pPr>
        <w:pBdr>
          <w:top w:val="nil"/>
          <w:left w:val="nil"/>
          <w:bottom w:val="nil"/>
          <w:right w:val="nil"/>
          <w:between w:val="nil"/>
        </w:pBdr>
        <w:ind w:left="2835" w:hanging="566"/>
        <w:jc w:val="both"/>
        <w:rPr>
          <w:rFonts w:ascii="Century Gothic" w:eastAsia="Century Gothic" w:hAnsi="Century Gothic" w:cs="Century Gothic"/>
          <w:color w:val="000000"/>
          <w:lang w:val="en-US"/>
        </w:rPr>
      </w:pPr>
      <w:r w:rsidRPr="009828BB">
        <w:rPr>
          <w:rFonts w:ascii="Century Gothic" w:eastAsia="Century Gothic" w:hAnsi="Century Gothic" w:cs="Century Gothic"/>
          <w:color w:val="000000"/>
        </w:rPr>
        <w:t xml:space="preserve">Blomfield, C. J., &amp; Barber, B. L. (2009). Brief report: Performing on the stage, the field or both? Australian adolescent extracurricular </w:t>
      </w:r>
      <w:r w:rsidRPr="009828BB">
        <w:rPr>
          <w:rFonts w:ascii="Century Gothic" w:eastAsia="Century Gothic" w:hAnsi="Century Gothic" w:cs="Century Gothic"/>
          <w:color w:val="000000"/>
        </w:rPr>
        <w:lastRenderedPageBreak/>
        <w:t xml:space="preserve">activity participation and self-concept. </w:t>
      </w:r>
      <w:r w:rsidRPr="009828BB">
        <w:rPr>
          <w:rFonts w:ascii="Century Gothic" w:eastAsia="Century Gothic" w:hAnsi="Century Gothic" w:cs="Century Gothic"/>
          <w:i/>
          <w:iCs/>
          <w:color w:val="000000"/>
        </w:rPr>
        <w:t>Journal of Adolescence</w:t>
      </w:r>
      <w:r w:rsidRPr="009828BB">
        <w:rPr>
          <w:rFonts w:ascii="Century Gothic" w:eastAsia="Century Gothic" w:hAnsi="Century Gothic" w:cs="Century Gothic"/>
          <w:color w:val="000000"/>
        </w:rPr>
        <w:t>, 32(3), 733–739.</w:t>
      </w:r>
    </w:p>
    <w:p w14:paraId="2BC88B08" w14:textId="77777777" w:rsidR="007B1517" w:rsidRDefault="007B1517" w:rsidP="007B1517">
      <w:pPr>
        <w:pBdr>
          <w:top w:val="nil"/>
          <w:left w:val="nil"/>
          <w:bottom w:val="nil"/>
          <w:right w:val="nil"/>
          <w:between w:val="nil"/>
        </w:pBdr>
        <w:ind w:left="2835" w:hanging="566"/>
        <w:jc w:val="both"/>
        <w:rPr>
          <w:rFonts w:ascii="Century Gothic" w:eastAsia="Century Gothic" w:hAnsi="Century Gothic" w:cs="Century Gothic"/>
          <w:color w:val="000000"/>
          <w:lang w:val="en-US"/>
        </w:rPr>
      </w:pPr>
      <w:r w:rsidRPr="007B1517">
        <w:rPr>
          <w:rFonts w:ascii="Century Gothic" w:eastAsia="Century Gothic" w:hAnsi="Century Gothic" w:cs="Century Gothic"/>
          <w:color w:val="000000"/>
          <w:lang w:val="en-US"/>
        </w:rPr>
        <w:t xml:space="preserve">Creswell, J. W., &amp; Creswell, J. D. (2018). </w:t>
      </w:r>
      <w:r w:rsidRPr="007B1517">
        <w:rPr>
          <w:rFonts w:ascii="Century Gothic" w:eastAsia="Century Gothic" w:hAnsi="Century Gothic" w:cs="Century Gothic"/>
          <w:i/>
          <w:iCs/>
          <w:color w:val="000000"/>
          <w:lang w:val="en-US"/>
        </w:rPr>
        <w:t xml:space="preserve">Research design: Qualitative, quantitative, and mixed methods </w:t>
      </w:r>
      <w:proofErr w:type="gramStart"/>
      <w:r w:rsidRPr="007B1517">
        <w:rPr>
          <w:rFonts w:ascii="Century Gothic" w:eastAsia="Century Gothic" w:hAnsi="Century Gothic" w:cs="Century Gothic"/>
          <w:i/>
          <w:iCs/>
          <w:color w:val="000000"/>
          <w:lang w:val="en-US"/>
        </w:rPr>
        <w:t>approaches</w:t>
      </w:r>
      <w:proofErr w:type="gramEnd"/>
      <w:r w:rsidRPr="007B1517">
        <w:rPr>
          <w:rFonts w:ascii="Century Gothic" w:eastAsia="Century Gothic" w:hAnsi="Century Gothic" w:cs="Century Gothic"/>
          <w:color w:val="000000"/>
          <w:lang w:val="en-US"/>
        </w:rPr>
        <w:t xml:space="preserve"> (5th ed.). SAGE Publications.</w:t>
      </w:r>
    </w:p>
    <w:p w14:paraId="6C833444" w14:textId="6D01051D" w:rsidR="009828BB" w:rsidRPr="007B1517" w:rsidRDefault="009828BB" w:rsidP="007B1517">
      <w:pPr>
        <w:pBdr>
          <w:top w:val="nil"/>
          <w:left w:val="nil"/>
          <w:bottom w:val="nil"/>
          <w:right w:val="nil"/>
          <w:between w:val="nil"/>
        </w:pBdr>
        <w:ind w:left="2835" w:hanging="566"/>
        <w:jc w:val="both"/>
        <w:rPr>
          <w:rFonts w:ascii="Century Gothic" w:eastAsia="Century Gothic" w:hAnsi="Century Gothic" w:cs="Century Gothic"/>
          <w:color w:val="000000"/>
          <w:lang w:val="en-US"/>
        </w:rPr>
      </w:pPr>
      <w:r w:rsidRPr="009828BB">
        <w:rPr>
          <w:rFonts w:ascii="Century Gothic" w:eastAsia="Century Gothic" w:hAnsi="Century Gothic" w:cs="Century Gothic"/>
          <w:color w:val="000000"/>
        </w:rPr>
        <w:t xml:space="preserve">Fredricks, J. A., &amp; Eccles, J. S. (2008). Participation in extracurricular activities in the middle school years: Are there developmental benefits for African American and European American youth? </w:t>
      </w:r>
      <w:r w:rsidRPr="009828BB">
        <w:rPr>
          <w:rFonts w:ascii="Century Gothic" w:eastAsia="Century Gothic" w:hAnsi="Century Gothic" w:cs="Century Gothic"/>
          <w:i/>
          <w:iCs/>
          <w:color w:val="000000"/>
        </w:rPr>
        <w:t>Journal of Youth and Adolescence</w:t>
      </w:r>
      <w:r w:rsidRPr="009828BB">
        <w:rPr>
          <w:rFonts w:ascii="Century Gothic" w:eastAsia="Century Gothic" w:hAnsi="Century Gothic" w:cs="Century Gothic"/>
          <w:color w:val="000000"/>
        </w:rPr>
        <w:t>, 37(9), 1029–1043.</w:t>
      </w:r>
    </w:p>
    <w:p w14:paraId="478A6CF3" w14:textId="77777777" w:rsidR="007B1517" w:rsidRPr="007B1517" w:rsidRDefault="007B1517" w:rsidP="007B1517">
      <w:pPr>
        <w:pBdr>
          <w:top w:val="nil"/>
          <w:left w:val="nil"/>
          <w:bottom w:val="nil"/>
          <w:right w:val="nil"/>
          <w:between w:val="nil"/>
        </w:pBdr>
        <w:ind w:left="2835" w:hanging="566"/>
        <w:jc w:val="both"/>
        <w:rPr>
          <w:rFonts w:ascii="Century Gothic" w:eastAsia="Century Gothic" w:hAnsi="Century Gothic" w:cs="Century Gothic"/>
          <w:color w:val="000000"/>
          <w:lang w:val="en-US"/>
        </w:rPr>
      </w:pPr>
      <w:proofErr w:type="spellStart"/>
      <w:r w:rsidRPr="007B1517">
        <w:rPr>
          <w:rFonts w:ascii="Century Gothic" w:eastAsia="Century Gothic" w:hAnsi="Century Gothic" w:cs="Century Gothic"/>
          <w:color w:val="000000"/>
          <w:lang w:val="en-US"/>
        </w:rPr>
        <w:t>Harbonnier-Topin</w:t>
      </w:r>
      <w:proofErr w:type="spellEnd"/>
      <w:r w:rsidRPr="007B1517">
        <w:rPr>
          <w:rFonts w:ascii="Century Gothic" w:eastAsia="Century Gothic" w:hAnsi="Century Gothic" w:cs="Century Gothic"/>
          <w:color w:val="000000"/>
          <w:lang w:val="en-US"/>
        </w:rPr>
        <w:t xml:space="preserve">, N., &amp; Barbier, J.-M. (2014). Learning by imitation in dance: A constructive "resonance"? </w:t>
      </w:r>
      <w:proofErr w:type="spellStart"/>
      <w:r w:rsidRPr="007B1517">
        <w:rPr>
          <w:rFonts w:ascii="Century Gothic" w:eastAsia="Century Gothic" w:hAnsi="Century Gothic" w:cs="Century Gothic"/>
          <w:i/>
          <w:iCs/>
          <w:color w:val="000000"/>
          <w:lang w:val="en-US"/>
        </w:rPr>
        <w:t>Staps</w:t>
      </w:r>
      <w:proofErr w:type="spellEnd"/>
      <w:r w:rsidRPr="007B1517">
        <w:rPr>
          <w:rFonts w:ascii="Century Gothic" w:eastAsia="Century Gothic" w:hAnsi="Century Gothic" w:cs="Century Gothic"/>
          <w:color w:val="000000"/>
          <w:lang w:val="en-US"/>
        </w:rPr>
        <w:t xml:space="preserve">, 2014/1(103), 53–68. </w:t>
      </w:r>
      <w:hyperlink r:id="rId20" w:history="1">
        <w:r w:rsidRPr="007B1517">
          <w:rPr>
            <w:rStyle w:val="Hyperlink"/>
            <w:rFonts w:ascii="Century Gothic" w:eastAsia="Century Gothic" w:hAnsi="Century Gothic" w:cs="Century Gothic"/>
            <w:lang w:val="en-US"/>
          </w:rPr>
          <w:t>https://doi.org/10.3917/sta.103.0053</w:t>
        </w:r>
      </w:hyperlink>
    </w:p>
    <w:p w14:paraId="24828537" w14:textId="77777777" w:rsidR="007B1517" w:rsidRDefault="007B1517" w:rsidP="007B1517">
      <w:pPr>
        <w:pBdr>
          <w:top w:val="nil"/>
          <w:left w:val="nil"/>
          <w:bottom w:val="nil"/>
          <w:right w:val="nil"/>
          <w:between w:val="nil"/>
        </w:pBdr>
        <w:ind w:left="2835" w:hanging="566"/>
        <w:jc w:val="both"/>
        <w:rPr>
          <w:rFonts w:ascii="Century Gothic" w:eastAsia="Century Gothic" w:hAnsi="Century Gothic" w:cs="Century Gothic"/>
          <w:color w:val="000000"/>
          <w:lang w:val="en-US"/>
        </w:rPr>
      </w:pPr>
      <w:proofErr w:type="spellStart"/>
      <w:r w:rsidRPr="007B1517">
        <w:rPr>
          <w:rFonts w:ascii="Century Gothic" w:eastAsia="Century Gothic" w:hAnsi="Century Gothic" w:cs="Century Gothic"/>
          <w:color w:val="000000"/>
          <w:lang w:val="en-US"/>
        </w:rPr>
        <w:t>Hariswari</w:t>
      </w:r>
      <w:proofErr w:type="spellEnd"/>
      <w:r w:rsidRPr="007B1517">
        <w:rPr>
          <w:rFonts w:ascii="Century Gothic" w:eastAsia="Century Gothic" w:hAnsi="Century Gothic" w:cs="Century Gothic"/>
          <w:color w:val="000000"/>
          <w:lang w:val="en-US"/>
        </w:rPr>
        <w:t xml:space="preserve">, K. P., &amp; Sape, N. V. (2025). Effectiveness of drill and imitation methods in the application of canon and broken design techniques in </w:t>
      </w:r>
      <w:proofErr w:type="spellStart"/>
      <w:r w:rsidRPr="007B1517">
        <w:rPr>
          <w:rFonts w:ascii="Century Gothic" w:eastAsia="Century Gothic" w:hAnsi="Century Gothic" w:cs="Century Gothic"/>
          <w:color w:val="000000"/>
          <w:lang w:val="en-US"/>
        </w:rPr>
        <w:t>Feto</w:t>
      </w:r>
      <w:proofErr w:type="spellEnd"/>
      <w:r w:rsidRPr="007B1517">
        <w:rPr>
          <w:rFonts w:ascii="Century Gothic" w:eastAsia="Century Gothic" w:hAnsi="Century Gothic" w:cs="Century Gothic"/>
          <w:color w:val="000000"/>
          <w:lang w:val="en-US"/>
        </w:rPr>
        <w:t xml:space="preserve"> Hitu dance. </w:t>
      </w:r>
      <w:proofErr w:type="spellStart"/>
      <w:r w:rsidRPr="007B1517">
        <w:rPr>
          <w:rFonts w:ascii="Century Gothic" w:eastAsia="Century Gothic" w:hAnsi="Century Gothic" w:cs="Century Gothic"/>
          <w:i/>
          <w:iCs/>
          <w:color w:val="000000"/>
          <w:lang w:val="en-US"/>
        </w:rPr>
        <w:t>Jurnal</w:t>
      </w:r>
      <w:proofErr w:type="spellEnd"/>
      <w:r w:rsidRPr="007B1517">
        <w:rPr>
          <w:rFonts w:ascii="Century Gothic" w:eastAsia="Century Gothic" w:hAnsi="Century Gothic" w:cs="Century Gothic"/>
          <w:i/>
          <w:iCs/>
          <w:color w:val="000000"/>
          <w:lang w:val="en-US"/>
        </w:rPr>
        <w:t xml:space="preserve"> Pendidikan Tari dan </w:t>
      </w:r>
      <w:proofErr w:type="spellStart"/>
      <w:r w:rsidRPr="007B1517">
        <w:rPr>
          <w:rFonts w:ascii="Century Gothic" w:eastAsia="Century Gothic" w:hAnsi="Century Gothic" w:cs="Century Gothic"/>
          <w:i/>
          <w:iCs/>
          <w:color w:val="000000"/>
          <w:lang w:val="en-US"/>
        </w:rPr>
        <w:t>Pembelajaran</w:t>
      </w:r>
      <w:proofErr w:type="spellEnd"/>
      <w:r w:rsidRPr="007B1517">
        <w:rPr>
          <w:rFonts w:ascii="Century Gothic" w:eastAsia="Century Gothic" w:hAnsi="Century Gothic" w:cs="Century Gothic"/>
          <w:i/>
          <w:iCs/>
          <w:color w:val="000000"/>
          <w:lang w:val="en-US"/>
        </w:rPr>
        <w:t xml:space="preserve"> </w:t>
      </w:r>
      <w:proofErr w:type="spellStart"/>
      <w:r w:rsidRPr="007B1517">
        <w:rPr>
          <w:rFonts w:ascii="Century Gothic" w:eastAsia="Century Gothic" w:hAnsi="Century Gothic" w:cs="Century Gothic"/>
          <w:i/>
          <w:iCs/>
          <w:color w:val="000000"/>
          <w:lang w:val="en-US"/>
        </w:rPr>
        <w:t>Pertunjukan</w:t>
      </w:r>
      <w:proofErr w:type="spellEnd"/>
      <w:r w:rsidRPr="007B1517">
        <w:rPr>
          <w:rFonts w:ascii="Century Gothic" w:eastAsia="Century Gothic" w:hAnsi="Century Gothic" w:cs="Century Gothic"/>
          <w:color w:val="000000"/>
          <w:lang w:val="en-US"/>
        </w:rPr>
        <w:t>, 10(12).</w:t>
      </w:r>
    </w:p>
    <w:p w14:paraId="719FA4C9" w14:textId="1D3C9A4A" w:rsidR="009828BB" w:rsidRPr="007B1517" w:rsidRDefault="009828BB" w:rsidP="007B1517">
      <w:pPr>
        <w:pBdr>
          <w:top w:val="nil"/>
          <w:left w:val="nil"/>
          <w:bottom w:val="nil"/>
          <w:right w:val="nil"/>
          <w:between w:val="nil"/>
        </w:pBdr>
        <w:ind w:left="2835" w:hanging="566"/>
        <w:jc w:val="both"/>
        <w:rPr>
          <w:rFonts w:ascii="Century Gothic" w:eastAsia="Century Gothic" w:hAnsi="Century Gothic" w:cs="Century Gothic"/>
          <w:color w:val="000000"/>
          <w:lang w:val="en-US"/>
        </w:rPr>
      </w:pPr>
      <w:r w:rsidRPr="009828BB">
        <w:rPr>
          <w:rFonts w:ascii="Century Gothic" w:eastAsia="Century Gothic" w:hAnsi="Century Gothic" w:cs="Century Gothic"/>
          <w:color w:val="000000"/>
        </w:rPr>
        <w:t xml:space="preserve">Kausar, S., &amp; Ahmad, N. (2021). Performing arts and psychological wellbeing among university students. </w:t>
      </w:r>
      <w:r w:rsidRPr="009828BB">
        <w:rPr>
          <w:rFonts w:ascii="Century Gothic" w:eastAsia="Century Gothic" w:hAnsi="Century Gothic" w:cs="Century Gothic"/>
          <w:i/>
          <w:iCs/>
          <w:color w:val="000000"/>
        </w:rPr>
        <w:t>Journal of Positive School Psychology</w:t>
      </w:r>
      <w:r w:rsidRPr="009828BB">
        <w:rPr>
          <w:rFonts w:ascii="Century Gothic" w:eastAsia="Century Gothic" w:hAnsi="Century Gothic" w:cs="Century Gothic"/>
          <w:color w:val="000000"/>
        </w:rPr>
        <w:t>, 5(2).</w:t>
      </w:r>
    </w:p>
    <w:p w14:paraId="3E3D47C7" w14:textId="77777777" w:rsidR="007B1517" w:rsidRPr="007B1517" w:rsidRDefault="007B1517" w:rsidP="007B1517">
      <w:pPr>
        <w:pBdr>
          <w:top w:val="nil"/>
          <w:left w:val="nil"/>
          <w:bottom w:val="nil"/>
          <w:right w:val="nil"/>
          <w:between w:val="nil"/>
        </w:pBdr>
        <w:ind w:left="2835" w:hanging="566"/>
        <w:jc w:val="both"/>
        <w:rPr>
          <w:rFonts w:ascii="Century Gothic" w:eastAsia="Century Gothic" w:hAnsi="Century Gothic" w:cs="Century Gothic"/>
          <w:color w:val="000000"/>
          <w:lang w:val="en-US"/>
        </w:rPr>
      </w:pPr>
      <w:r w:rsidRPr="007B1517">
        <w:rPr>
          <w:rFonts w:ascii="Century Gothic" w:eastAsia="Century Gothic" w:hAnsi="Century Gothic" w:cs="Century Gothic"/>
          <w:color w:val="000000"/>
          <w:lang w:val="en-US"/>
        </w:rPr>
        <w:t xml:space="preserve">Miles, M. B., Huberman, A. M., &amp; Saldaña, J. (2014). </w:t>
      </w:r>
      <w:r w:rsidRPr="007B1517">
        <w:rPr>
          <w:rFonts w:ascii="Century Gothic" w:eastAsia="Century Gothic" w:hAnsi="Century Gothic" w:cs="Century Gothic"/>
          <w:i/>
          <w:iCs/>
          <w:color w:val="000000"/>
          <w:lang w:val="en-US"/>
        </w:rPr>
        <w:t>Qualitative data analysis: A methods sourcebook</w:t>
      </w:r>
      <w:r w:rsidRPr="007B1517">
        <w:rPr>
          <w:rFonts w:ascii="Century Gothic" w:eastAsia="Century Gothic" w:hAnsi="Century Gothic" w:cs="Century Gothic"/>
          <w:color w:val="000000"/>
          <w:lang w:val="en-US"/>
        </w:rPr>
        <w:t xml:space="preserve"> (3rd ed.). SAGE Publications.</w:t>
      </w:r>
    </w:p>
    <w:p w14:paraId="4FF76AFE" w14:textId="77777777" w:rsidR="007B1517" w:rsidRPr="007B1517" w:rsidRDefault="007B1517" w:rsidP="007B1517">
      <w:pPr>
        <w:pBdr>
          <w:top w:val="nil"/>
          <w:left w:val="nil"/>
          <w:bottom w:val="nil"/>
          <w:right w:val="nil"/>
          <w:between w:val="nil"/>
        </w:pBdr>
        <w:ind w:left="2835" w:hanging="566"/>
        <w:jc w:val="both"/>
        <w:rPr>
          <w:rFonts w:ascii="Century Gothic" w:eastAsia="Century Gothic" w:hAnsi="Century Gothic" w:cs="Century Gothic"/>
          <w:color w:val="000000"/>
          <w:lang w:val="en-US"/>
        </w:rPr>
      </w:pPr>
      <w:proofErr w:type="spellStart"/>
      <w:r w:rsidRPr="007B1517">
        <w:rPr>
          <w:rFonts w:ascii="Century Gothic" w:eastAsia="Century Gothic" w:hAnsi="Century Gothic" w:cs="Century Gothic"/>
          <w:color w:val="000000"/>
          <w:lang w:val="en-US"/>
        </w:rPr>
        <w:t>Priskila</w:t>
      </w:r>
      <w:proofErr w:type="spellEnd"/>
      <w:r w:rsidRPr="007B1517">
        <w:rPr>
          <w:rFonts w:ascii="Century Gothic" w:eastAsia="Century Gothic" w:hAnsi="Century Gothic" w:cs="Century Gothic"/>
          <w:color w:val="000000"/>
          <w:lang w:val="en-US"/>
        </w:rPr>
        <w:t xml:space="preserve">, [Initial]. (2026). Role of modern dance extracurricular activities in developing students' movement creativity. </w:t>
      </w:r>
      <w:proofErr w:type="spellStart"/>
      <w:r w:rsidRPr="007B1517">
        <w:rPr>
          <w:rFonts w:ascii="Century Gothic" w:eastAsia="Century Gothic" w:hAnsi="Century Gothic" w:cs="Century Gothic"/>
          <w:i/>
          <w:iCs/>
          <w:color w:val="000000"/>
          <w:lang w:val="en-US"/>
        </w:rPr>
        <w:t>Paedagoria</w:t>
      </w:r>
      <w:proofErr w:type="spellEnd"/>
      <w:r w:rsidRPr="007B1517">
        <w:rPr>
          <w:rFonts w:ascii="Century Gothic" w:eastAsia="Century Gothic" w:hAnsi="Century Gothic" w:cs="Century Gothic"/>
          <w:i/>
          <w:iCs/>
          <w:color w:val="000000"/>
          <w:lang w:val="en-US"/>
        </w:rPr>
        <w:t xml:space="preserve">: </w:t>
      </w:r>
      <w:proofErr w:type="spellStart"/>
      <w:r w:rsidRPr="007B1517">
        <w:rPr>
          <w:rFonts w:ascii="Century Gothic" w:eastAsia="Century Gothic" w:hAnsi="Century Gothic" w:cs="Century Gothic"/>
          <w:i/>
          <w:iCs/>
          <w:color w:val="000000"/>
          <w:lang w:val="en-US"/>
        </w:rPr>
        <w:t>Jurnal</w:t>
      </w:r>
      <w:proofErr w:type="spellEnd"/>
      <w:r w:rsidRPr="007B1517">
        <w:rPr>
          <w:rFonts w:ascii="Century Gothic" w:eastAsia="Century Gothic" w:hAnsi="Century Gothic" w:cs="Century Gothic"/>
          <w:i/>
          <w:iCs/>
          <w:color w:val="000000"/>
          <w:lang w:val="en-US"/>
        </w:rPr>
        <w:t xml:space="preserve"> Kajian, </w:t>
      </w:r>
      <w:proofErr w:type="spellStart"/>
      <w:r w:rsidRPr="007B1517">
        <w:rPr>
          <w:rFonts w:ascii="Century Gothic" w:eastAsia="Century Gothic" w:hAnsi="Century Gothic" w:cs="Century Gothic"/>
          <w:i/>
          <w:iCs/>
          <w:color w:val="000000"/>
          <w:lang w:val="en-US"/>
        </w:rPr>
        <w:t>Penelitian</w:t>
      </w:r>
      <w:proofErr w:type="spellEnd"/>
      <w:r w:rsidRPr="007B1517">
        <w:rPr>
          <w:rFonts w:ascii="Century Gothic" w:eastAsia="Century Gothic" w:hAnsi="Century Gothic" w:cs="Century Gothic"/>
          <w:i/>
          <w:iCs/>
          <w:color w:val="000000"/>
          <w:lang w:val="en-US"/>
        </w:rPr>
        <w:t xml:space="preserve"> dan </w:t>
      </w:r>
      <w:proofErr w:type="spellStart"/>
      <w:r w:rsidRPr="007B1517">
        <w:rPr>
          <w:rFonts w:ascii="Century Gothic" w:eastAsia="Century Gothic" w:hAnsi="Century Gothic" w:cs="Century Gothic"/>
          <w:i/>
          <w:iCs/>
          <w:color w:val="000000"/>
          <w:lang w:val="en-US"/>
        </w:rPr>
        <w:t>Pengembangan</w:t>
      </w:r>
      <w:proofErr w:type="spellEnd"/>
      <w:r w:rsidRPr="007B1517">
        <w:rPr>
          <w:rFonts w:ascii="Century Gothic" w:eastAsia="Century Gothic" w:hAnsi="Century Gothic" w:cs="Century Gothic"/>
          <w:i/>
          <w:iCs/>
          <w:color w:val="000000"/>
          <w:lang w:val="en-US"/>
        </w:rPr>
        <w:t xml:space="preserve"> </w:t>
      </w:r>
      <w:proofErr w:type="spellStart"/>
      <w:r w:rsidRPr="007B1517">
        <w:rPr>
          <w:rFonts w:ascii="Century Gothic" w:eastAsia="Century Gothic" w:hAnsi="Century Gothic" w:cs="Century Gothic"/>
          <w:i/>
          <w:iCs/>
          <w:color w:val="000000"/>
          <w:lang w:val="en-US"/>
        </w:rPr>
        <w:t>Kependidikan</w:t>
      </w:r>
      <w:proofErr w:type="spellEnd"/>
      <w:r w:rsidRPr="007B1517">
        <w:rPr>
          <w:rFonts w:ascii="Century Gothic" w:eastAsia="Century Gothic" w:hAnsi="Century Gothic" w:cs="Century Gothic"/>
          <w:color w:val="000000"/>
          <w:lang w:val="en-US"/>
        </w:rPr>
        <w:t>.</w:t>
      </w:r>
    </w:p>
    <w:p w14:paraId="61D079F9" w14:textId="77777777" w:rsidR="007B1517" w:rsidRPr="007B1517" w:rsidRDefault="007B1517" w:rsidP="007B1517">
      <w:pPr>
        <w:pBdr>
          <w:top w:val="nil"/>
          <w:left w:val="nil"/>
          <w:bottom w:val="nil"/>
          <w:right w:val="nil"/>
          <w:between w:val="nil"/>
        </w:pBdr>
        <w:ind w:left="2835" w:hanging="566"/>
        <w:jc w:val="both"/>
        <w:rPr>
          <w:rFonts w:ascii="Century Gothic" w:eastAsia="Century Gothic" w:hAnsi="Century Gothic" w:cs="Century Gothic"/>
          <w:color w:val="000000"/>
          <w:lang w:val="en-US"/>
        </w:rPr>
      </w:pPr>
      <w:proofErr w:type="spellStart"/>
      <w:r w:rsidRPr="007B1517">
        <w:rPr>
          <w:rFonts w:ascii="Century Gothic" w:eastAsia="Century Gothic" w:hAnsi="Century Gothic" w:cs="Century Gothic"/>
          <w:color w:val="000000"/>
          <w:lang w:val="en-US"/>
        </w:rPr>
        <w:t>Rusyanti</w:t>
      </w:r>
      <w:proofErr w:type="spellEnd"/>
      <w:r w:rsidRPr="007B1517">
        <w:rPr>
          <w:rFonts w:ascii="Century Gothic" w:eastAsia="Century Gothic" w:hAnsi="Century Gothic" w:cs="Century Gothic"/>
          <w:color w:val="000000"/>
          <w:lang w:val="en-US"/>
        </w:rPr>
        <w:t xml:space="preserve">, [Initial]., et al. (2020). The learning method of traditional dance on hard-hearing students. </w:t>
      </w:r>
      <w:r w:rsidRPr="007B1517">
        <w:rPr>
          <w:rFonts w:ascii="Century Gothic" w:eastAsia="Century Gothic" w:hAnsi="Century Gothic" w:cs="Century Gothic"/>
          <w:i/>
          <w:iCs/>
          <w:color w:val="000000"/>
          <w:lang w:val="en-US"/>
        </w:rPr>
        <w:t>[Conference/Journal Name]</w:t>
      </w:r>
      <w:r w:rsidRPr="007B1517">
        <w:rPr>
          <w:rFonts w:ascii="Century Gothic" w:eastAsia="Century Gothic" w:hAnsi="Century Gothic" w:cs="Century Gothic"/>
          <w:color w:val="000000"/>
          <w:lang w:val="en-US"/>
        </w:rPr>
        <w:t>.</w:t>
      </w:r>
    </w:p>
    <w:p w14:paraId="15E42E49" w14:textId="77777777" w:rsidR="007B1517" w:rsidRPr="007B1517" w:rsidRDefault="007B1517" w:rsidP="007B1517">
      <w:pPr>
        <w:pBdr>
          <w:top w:val="nil"/>
          <w:left w:val="nil"/>
          <w:bottom w:val="nil"/>
          <w:right w:val="nil"/>
          <w:between w:val="nil"/>
        </w:pBdr>
        <w:ind w:left="2835" w:hanging="566"/>
        <w:jc w:val="both"/>
        <w:rPr>
          <w:rFonts w:ascii="Century Gothic" w:eastAsia="Century Gothic" w:hAnsi="Century Gothic" w:cs="Century Gothic"/>
          <w:color w:val="000000"/>
          <w:lang w:val="en-US"/>
        </w:rPr>
      </w:pPr>
      <w:r w:rsidRPr="007B1517">
        <w:rPr>
          <w:rFonts w:ascii="Century Gothic" w:eastAsia="Century Gothic" w:hAnsi="Century Gothic" w:cs="Century Gothic"/>
          <w:color w:val="000000"/>
          <w:lang w:val="en-US"/>
        </w:rPr>
        <w:t xml:space="preserve">Skinner, B. F. (1953). </w:t>
      </w:r>
      <w:r w:rsidRPr="007B1517">
        <w:rPr>
          <w:rFonts w:ascii="Century Gothic" w:eastAsia="Century Gothic" w:hAnsi="Century Gothic" w:cs="Century Gothic"/>
          <w:i/>
          <w:iCs/>
          <w:color w:val="000000"/>
          <w:lang w:val="en-US"/>
        </w:rPr>
        <w:t>Science and human behavior</w:t>
      </w:r>
      <w:r w:rsidRPr="007B1517">
        <w:rPr>
          <w:rFonts w:ascii="Century Gothic" w:eastAsia="Century Gothic" w:hAnsi="Century Gothic" w:cs="Century Gothic"/>
          <w:color w:val="000000"/>
          <w:lang w:val="en-US"/>
        </w:rPr>
        <w:t>. Macmillan.</w:t>
      </w:r>
    </w:p>
    <w:p w14:paraId="6DD05E6A" w14:textId="77777777" w:rsidR="007B1517" w:rsidRPr="007B1517" w:rsidRDefault="007B1517" w:rsidP="007B1517">
      <w:pPr>
        <w:pBdr>
          <w:top w:val="nil"/>
          <w:left w:val="nil"/>
          <w:bottom w:val="nil"/>
          <w:right w:val="nil"/>
          <w:between w:val="nil"/>
        </w:pBdr>
        <w:ind w:left="2835" w:hanging="566"/>
        <w:jc w:val="both"/>
        <w:rPr>
          <w:rFonts w:ascii="Century Gothic" w:eastAsia="Century Gothic" w:hAnsi="Century Gothic" w:cs="Century Gothic"/>
          <w:color w:val="000000"/>
          <w:lang w:val="en-US"/>
        </w:rPr>
      </w:pPr>
      <w:r w:rsidRPr="007B1517">
        <w:rPr>
          <w:rFonts w:ascii="Century Gothic" w:eastAsia="Century Gothic" w:hAnsi="Century Gothic" w:cs="Century Gothic"/>
          <w:color w:val="000000"/>
          <w:lang w:val="en-US"/>
        </w:rPr>
        <w:t xml:space="preserve">Thorndike, E. L. (1932). </w:t>
      </w:r>
      <w:r w:rsidRPr="007B1517">
        <w:rPr>
          <w:rFonts w:ascii="Century Gothic" w:eastAsia="Century Gothic" w:hAnsi="Century Gothic" w:cs="Century Gothic"/>
          <w:i/>
          <w:iCs/>
          <w:color w:val="000000"/>
          <w:lang w:val="en-US"/>
        </w:rPr>
        <w:t>The fundamentals of learning</w:t>
      </w:r>
      <w:r w:rsidRPr="007B1517">
        <w:rPr>
          <w:rFonts w:ascii="Century Gothic" w:eastAsia="Century Gothic" w:hAnsi="Century Gothic" w:cs="Century Gothic"/>
          <w:color w:val="000000"/>
          <w:lang w:val="en-US"/>
        </w:rPr>
        <w:t>. Teachers College, Columbia University.</w:t>
      </w:r>
    </w:p>
    <w:p w14:paraId="2195E6D5" w14:textId="77777777" w:rsidR="007B1517" w:rsidRDefault="007B1517">
      <w:pPr>
        <w:pBdr>
          <w:top w:val="nil"/>
          <w:left w:val="nil"/>
          <w:bottom w:val="nil"/>
          <w:right w:val="nil"/>
          <w:between w:val="nil"/>
        </w:pBdr>
        <w:ind w:left="2835" w:hanging="566"/>
        <w:jc w:val="both"/>
        <w:rPr>
          <w:rFonts w:ascii="Century Gothic" w:eastAsia="Century Gothic" w:hAnsi="Century Gothic" w:cs="Century Gothic"/>
          <w:color w:val="000000"/>
        </w:rPr>
      </w:pPr>
    </w:p>
    <w:sectPr w:rsidR="007B1517">
      <w:type w:val="continuous"/>
      <w:pgSz w:w="11907" w:h="16840"/>
      <w:pgMar w:top="1440" w:right="1440" w:bottom="1440" w:left="1440" w:header="14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C7989F" w14:textId="77777777" w:rsidR="00846286" w:rsidRDefault="00846286">
      <w:r>
        <w:separator/>
      </w:r>
    </w:p>
  </w:endnote>
  <w:endnote w:type="continuationSeparator" w:id="0">
    <w:p w14:paraId="78F45196" w14:textId="77777777" w:rsidR="00846286" w:rsidRDefault="008462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78A631A4-11B7-46FD-BF3B-470984A8B7E1}"/>
    <w:embedBold r:id="rId2" w:fontKey="{220AEA37-C3F5-47A2-94D4-5EBA0FECC4A1}"/>
    <w:embedItalic r:id="rId3" w:fontKey="{A3C97D7D-3EF9-4EB4-A29B-A59050A33A8F}"/>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4" w:fontKey="{62A2CADD-339D-42A0-99B4-BCFB074720CE}"/>
  </w:font>
  <w:font w:name="Century Gothic">
    <w:panose1 w:val="020B0502020202020204"/>
    <w:charset w:val="00"/>
    <w:family w:val="swiss"/>
    <w:pitch w:val="variable"/>
    <w:sig w:usb0="00000287" w:usb1="00000000" w:usb2="00000000" w:usb3="00000000" w:csb0="0000009F" w:csb1="00000000"/>
    <w:embedRegular r:id="rId5" w:fontKey="{7B50FFD7-8D8A-48D8-B30F-BCBA374A3141}"/>
    <w:embedBold r:id="rId6" w:fontKey="{0C7AAA6F-D0E6-43BF-8E74-566B058D8A3E}"/>
    <w:embedItalic r:id="rId7" w:fontKey="{28930A2A-E7E6-4DC3-AF96-B733CA56AE4D}"/>
    <w:embedBoldItalic r:id="rId8" w:fontKey="{F52DE75D-B295-4575-9D77-99AE6AD2D2E2}"/>
  </w:font>
  <w:font w:name="FS Me Light">
    <w:altName w:val="Calibri"/>
    <w:charset w:val="00"/>
    <w:family w:val="auto"/>
    <w:pitch w:val="default"/>
  </w:font>
  <w:font w:name="Cambria">
    <w:panose1 w:val="02040503050406030204"/>
    <w:charset w:val="00"/>
    <w:family w:val="roman"/>
    <w:pitch w:val="variable"/>
    <w:sig w:usb0="E00006FF" w:usb1="420024FF" w:usb2="02000000" w:usb3="00000000" w:csb0="0000019F" w:csb1="00000000"/>
    <w:embedRegular r:id="rId9" w:fontKey="{90918C87-D1C7-48A1-A6C5-D9B91206E2B8}"/>
    <w:embedItalic r:id="rId10" w:fontKey="{D87E371A-498D-421F-A08E-D5D1D0142CFB}"/>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2A035" w14:textId="77777777" w:rsidR="00627A8F" w:rsidRDefault="00627A8F">
    <w:pPr>
      <w:pBdr>
        <w:top w:val="nil"/>
        <w:left w:val="nil"/>
        <w:bottom w:val="nil"/>
        <w:right w:val="nil"/>
        <w:between w:val="nil"/>
      </w:pBdr>
      <w:tabs>
        <w:tab w:val="center" w:pos="4680"/>
        <w:tab w:val="right" w:pos="9360"/>
      </w:tabs>
      <w:ind w:hanging="2"/>
      <w:jc w:val="both"/>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0B5EC" w14:textId="77777777" w:rsidR="00627A8F" w:rsidRDefault="00627A8F">
    <w:pPr>
      <w:pBdr>
        <w:top w:val="nil"/>
        <w:left w:val="nil"/>
        <w:bottom w:val="nil"/>
        <w:right w:val="nil"/>
        <w:between w:val="nil"/>
      </w:pBdr>
      <w:tabs>
        <w:tab w:val="center" w:pos="4680"/>
        <w:tab w:val="right" w:pos="9360"/>
      </w:tabs>
      <w:ind w:hanging="2"/>
      <w:jc w:val="both"/>
      <w:rPr>
        <w:rFonts w:ascii="Times New Roman" w:eastAsia="Times New Roman" w:hAnsi="Times New Roman" w:cs="Times New Roman"/>
        <w:color w:val="000000"/>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0A446" w14:textId="77777777" w:rsidR="00627A8F" w:rsidRDefault="00000000">
    <w:pPr>
      <w:spacing w:before="98" w:line="237" w:lineRule="auto"/>
      <w:ind w:left="3747"/>
      <w:rPr>
        <w:sz w:val="12"/>
        <w:szCs w:val="12"/>
      </w:rPr>
    </w:pPr>
    <w:r>
      <w:rPr>
        <w:sz w:val="12"/>
        <w:szCs w:val="12"/>
      </w:rPr>
      <w:t xml:space="preserve">© </w:t>
    </w:r>
    <w:r>
      <w:rPr>
        <w:sz w:val="12"/>
        <w:szCs w:val="12"/>
      </w:rPr>
      <w:t xml:space="preserve">2023 Author. This open access article is distributed under a Creative Commons Attribution </w:t>
    </w:r>
    <w:hyperlink r:id="rId1">
      <w:r w:rsidR="00627A8F">
        <w:rPr>
          <w:sz w:val="12"/>
          <w:szCs w:val="12"/>
        </w:rPr>
        <w:t>(</w:t>
      </w:r>
    </w:hyperlink>
    <w:hyperlink r:id="rId2">
      <w:r w:rsidR="00627A8F">
        <w:rPr>
          <w:color w:val="0000FF"/>
          <w:sz w:val="12"/>
          <w:szCs w:val="12"/>
        </w:rPr>
        <w:t>CC-BY-NC-SA</w:t>
      </w:r>
    </w:hyperlink>
    <w:hyperlink r:id="rId3">
      <w:r w:rsidR="00627A8F">
        <w:rPr>
          <w:sz w:val="12"/>
          <w:szCs w:val="12"/>
        </w:rPr>
        <w:t>)</w:t>
      </w:r>
    </w:hyperlink>
    <w:r>
      <w:rPr>
        <w:sz w:val="12"/>
        <w:szCs w:val="12"/>
      </w:rPr>
      <w:t xml:space="preserve"> 4.0 license.</w:t>
    </w:r>
    <w:r>
      <w:rPr>
        <w:noProof/>
      </w:rPr>
      <mc:AlternateContent>
        <mc:Choice Requires="wpg">
          <w:drawing>
            <wp:anchor distT="0" distB="0" distL="114300" distR="114300" simplePos="0" relativeHeight="251659264" behindDoc="0" locked="0" layoutInCell="1" hidden="0" allowOverlap="1" wp14:anchorId="4961321C" wp14:editId="30CC4513">
              <wp:simplePos x="0" y="0"/>
              <wp:positionH relativeFrom="column">
                <wp:posOffset>1485900</wp:posOffset>
              </wp:positionH>
              <wp:positionV relativeFrom="paragraph">
                <wp:posOffset>0</wp:posOffset>
              </wp:positionV>
              <wp:extent cx="4114165" cy="19050"/>
              <wp:effectExtent l="0" t="0" r="0" b="0"/>
              <wp:wrapNone/>
              <wp:docPr id="1" name="Group 1"/>
              <wp:cNvGraphicFramePr/>
              <a:graphic xmlns:a="http://schemas.openxmlformats.org/drawingml/2006/main">
                <a:graphicData uri="http://schemas.microsoft.com/office/word/2010/wordprocessingGroup">
                  <wpg:wgp>
                    <wpg:cNvGrpSpPr/>
                    <wpg:grpSpPr>
                      <a:xfrm>
                        <a:off x="0" y="0"/>
                        <a:ext cx="4114165" cy="19050"/>
                        <a:chOff x="3288900" y="3770475"/>
                        <a:chExt cx="4114200" cy="19050"/>
                      </a:xfrm>
                    </wpg:grpSpPr>
                    <wpg:grpSp>
                      <wpg:cNvPr id="803984244" name="Group 803984244"/>
                      <wpg:cNvGrpSpPr/>
                      <wpg:grpSpPr>
                        <a:xfrm>
                          <a:off x="3288918" y="3770475"/>
                          <a:ext cx="4114165" cy="19050"/>
                          <a:chOff x="0" y="0"/>
                          <a:chExt cx="4114165" cy="19050"/>
                        </a:xfrm>
                      </wpg:grpSpPr>
                      <wps:wsp>
                        <wps:cNvPr id="1869042262" name="Rectangle 1869042262"/>
                        <wps:cNvSpPr/>
                        <wps:spPr>
                          <a:xfrm>
                            <a:off x="0" y="0"/>
                            <a:ext cx="4114150" cy="19050"/>
                          </a:xfrm>
                          <a:prstGeom prst="rect">
                            <a:avLst/>
                          </a:prstGeom>
                          <a:noFill/>
                          <a:ln>
                            <a:noFill/>
                          </a:ln>
                        </wps:spPr>
                        <wps:txbx>
                          <w:txbxContent>
                            <w:p w14:paraId="41BE88A5" w14:textId="77777777" w:rsidR="00627A8F" w:rsidRDefault="00627A8F">
                              <w:pPr>
                                <w:textDirection w:val="btLr"/>
                              </w:pPr>
                            </w:p>
                          </w:txbxContent>
                        </wps:txbx>
                        <wps:bodyPr spcFirstLastPara="1" wrap="square" lIns="91425" tIns="91425" rIns="91425" bIns="91425" anchor="ctr" anchorCtr="0">
                          <a:noAutofit/>
                        </wps:bodyPr>
                      </wps:wsp>
                      <wps:wsp>
                        <wps:cNvPr id="1233344581" name="Freeform: Shape 1233344581"/>
                        <wps:cNvSpPr/>
                        <wps:spPr>
                          <a:xfrm>
                            <a:off x="0" y="9525"/>
                            <a:ext cx="4114165" cy="1270"/>
                          </a:xfrm>
                          <a:custGeom>
                            <a:avLst/>
                            <a:gdLst/>
                            <a:ahLst/>
                            <a:cxnLst/>
                            <a:rect l="l" t="t" r="r" b="b"/>
                            <a:pathLst>
                              <a:path w="4114165" h="120000" extrusionOk="0">
                                <a:moveTo>
                                  <a:pt x="0" y="0"/>
                                </a:moveTo>
                                <a:lnTo>
                                  <a:pt x="4114165" y="0"/>
                                </a:lnTo>
                              </a:path>
                            </a:pathLst>
                          </a:custGeom>
                          <a:noFill/>
                          <a:ln w="1905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anchor>
          </w:drawing>
        </mc:Choice>
        <mc:Fallback>
          <w:pict>
            <v:group w14:anchorId="4961321C" id="Group 1" o:spid="_x0000_s1033" style="position:absolute;left:0;text-align:left;margin-left:117pt;margin-top:0;width:323.95pt;height:1.5pt;z-index:251659264" coordorigin="32889,37704" coordsize="41142,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2JOTgMAACAJAAAOAAAAZHJzL2Uyb0RvYy54bWzMVslu2zAQvRfoPxC8N1osb0LkoEjioEDQ&#10;BE36ATRFLahEsiRt2X/fIWUtdlq0SYGiPshcRsM3b2YedXm1ryu0Y0qXgic4uPAxYpyKtOR5gr8+&#10;rz8sMNKG8JRUgrMEH5jGV6v37y4bGbNQFKJKmULghOu4kQkujJGx52lasJroCyEZh81MqJoYmKrc&#10;SxVpwHtdeaHvz7xGqFQqQZnWsHrTbuKV859ljJqHLNPMoCrBgM24p3LPjX16q0sS54rIoqRHGOQN&#10;KGpScji0d3VDDEFbVb5wVZdUCS0yc0FF7YksKylzMUA0gX8WzZ0SW+liyeMmlz1NQO0ZT292Sz/v&#10;7pR8ko8KmGhkDly4mY1ln6na/gNKtHeUHXrK2N4gCotREETBbIoRhb1g6U+PlNICeLdvTcLFYukD&#10;9bA/mc/9aD5tSafF7cgH5PLMh9cB8E5g9ZMWLuB/VKhME7zwJ8tFFEYRRpzUUGqOPTQsHwN8RcQO&#10;ewAVfI79j6Nv4+45GUf8krVfRgytoYfs67/L/lNBJHNFpeOBvWAxW/pRGM7Cjr4v0DuE5xVDoz3H&#10;oXuvLxkda6ieV9ULFMlpvfSRk1gqbe6YqJEdJFgBCtdYZHevDRwPpp2JPZOLdVlVsE7iip8sgKFd&#10;gerpENqR2W/2xyA2Ij1A7WhJ1yWcdU+0eSQKuj/AqAFFSLD+viWKYVR94kD6MohCKHQznqjxZDOe&#10;EE4LAUJDjcKonVwbJzwtyo9bI7LSRWRxtWCOcCHbtrr/RdrDyWQSRdMFxNx2zVoxZuU2Rq5QUDBY&#10;vD75yykw5pLz844J5641Rumn2zb9lqQu5aCqaZt8WCu6Ed3zbmiLxAp85QTeYAQ8A+sg8Jv2dEmM&#10;fc86tUPUjISrgISD+lj9AZBqa2+yh29W6Kx5LXbsWbgXzZkIAupht+Jjq14VO8F0xWgtYGAR9AOH&#10;ChbHcZ/UtMXa6iqitiazikCAtJYgeZrnDqQWVZnaPrA4tco315VCO2KvPPezJMAZJ2a2iW6ILlo7&#10;t9VyBXcOT13OCkbSW54ic5Agpxzub2gMOLWGjmBw28PA2RlSVr+3cxQcC7xVjKHu/9smHO4eh9xd&#10;w47L4yeDvefHc2c1fNisfgAAAP//AwBQSwMEFAAGAAgAAAAhALmeXc/eAAAABgEAAA8AAABkcnMv&#10;ZG93bnJldi54bWxMj0FLw0AQhe+C/2EZwZvdpFGJMZNSinoqgq0g3qbJNAnN7obsNkn/veNJLwOP&#10;93jvm3w1m06NPPjWWYR4EYFiW7qqtTXC5/71LgXlA9mKOmcZ4cIeVsX1VU5Z5Sb7weMu1EpKrM8I&#10;oQmhz7T2ZcOG/ML1bMU7usFQEDnUuhpoknLT6WUUPWpDrZWFhnreNFyedmeD8DbRtE7il3F7Om4u&#10;3/uH969tzIi3N/P6GVTgOfyF4Rdf0KEQpoM728qrDmGZ3MsvAUGu2GkaP4E6ICQR6CLX//GLHwAA&#10;AP//AwBQSwECLQAUAAYACAAAACEAtoM4kv4AAADhAQAAEwAAAAAAAAAAAAAAAAAAAAAAW0NvbnRl&#10;bnRfVHlwZXNdLnhtbFBLAQItABQABgAIAAAAIQA4/SH/1gAAAJQBAAALAAAAAAAAAAAAAAAAAC8B&#10;AABfcmVscy8ucmVsc1BLAQItABQABgAIAAAAIQCo52JOTgMAACAJAAAOAAAAAAAAAAAAAAAAAC4C&#10;AABkcnMvZTJvRG9jLnhtbFBLAQItABQABgAIAAAAIQC5nl3P3gAAAAYBAAAPAAAAAAAAAAAAAAAA&#10;AKgFAABkcnMvZG93bnJldi54bWxQSwUGAAAAAAQABADzAAAAswYAAAAA&#10;">
              <v:group id="Group 803984244" o:spid="_x0000_s1034" style="position:absolute;left:32889;top:37704;width:41141;height:191" coordsize="41141,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96FywAAAOIAAAAPAAAAZHJzL2Rvd25yZXYueG1sRI9Ba8JA&#10;FITvQv/D8gq91U00LTF1FZG2eBChKoi3R/aZBLNvQ3abxH/vFgoeh5n5hpkvB1OLjlpXWVYQjyMQ&#10;xLnVFRcKjoev1xSE88gaa8uk4EYOloun0RwzbXv+oW7vCxEg7DJUUHrfZFK6vCSDbmwb4uBdbGvQ&#10;B9kWUrfYB7ip5SSK3qXBisNCiQ2tS8qv+1+j4LvHfjWNP7vt9bK+nQ9vu9M2JqVenofVBwhPg3+E&#10;/9sbrSCNprM0mSQJ/F0Kd0Au7gAAAP//AwBQSwECLQAUAAYACAAAACEA2+H2y+4AAACFAQAAEwAA&#10;AAAAAAAAAAAAAAAAAAAAW0NvbnRlbnRfVHlwZXNdLnhtbFBLAQItABQABgAIAAAAIQBa9CxbvwAA&#10;ABUBAAALAAAAAAAAAAAAAAAAAB8BAABfcmVscy8ucmVsc1BLAQItABQABgAIAAAAIQBqe96FywAA&#10;AOIAAAAPAAAAAAAAAAAAAAAAAAcCAABkcnMvZG93bnJldi54bWxQSwUGAAAAAAMAAwC3AAAA/wIA&#10;AAAA&#10;">
                <v:rect id="Rectangle 1869042262" o:spid="_x0000_s1035" style="position:absolute;width:41141;height:1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ghxgAAAOMAAAAPAAAAZHJzL2Rvd25yZXYueG1sRE9fa8Iw&#10;EH8f7DuEE/Y2U4MUrUZxw4Hb01b9AGdzNsXm0jVR67dfBoM93u//LdeDa8WV+tB41jAZZyCIK28a&#10;rjUc9m/PMxAhIhtsPZOGOwVYrx4fllgYf+MvupaxFimEQ4EabIxdIWWoLDkMY98RJ+7ke4cxnX0t&#10;TY+3FO5aqbIslw4bTg0WO3q1VJ3Li9PwOfWktiq8lLWb2+G4/3j/xlzrp9GwWYCINMR/8Z97Z9L8&#10;WT7PpkrlCn5/SgDI1Q8AAAD//wMAUEsBAi0AFAAGAAgAAAAhANvh9svuAAAAhQEAABMAAAAAAAAA&#10;AAAAAAAAAAAAAFtDb250ZW50X1R5cGVzXS54bWxQSwECLQAUAAYACAAAACEAWvQsW78AAAAVAQAA&#10;CwAAAAAAAAAAAAAAAAAfAQAAX3JlbHMvLnJlbHNQSwECLQAUAAYACAAAACEAbJUoIcYAAADjAAAA&#10;DwAAAAAAAAAAAAAAAAAHAgAAZHJzL2Rvd25yZXYueG1sUEsFBgAAAAADAAMAtwAAAPoCAAAAAA==&#10;" filled="f" stroked="f">
                  <v:textbox inset="2.53958mm,2.53958mm,2.53958mm,2.53958mm">
                    <w:txbxContent>
                      <w:p w14:paraId="41BE88A5" w14:textId="77777777" w:rsidR="00627A8F" w:rsidRDefault="00627A8F">
                        <w:pPr>
                          <w:textDirection w:val="btLr"/>
                        </w:pPr>
                      </w:p>
                    </w:txbxContent>
                  </v:textbox>
                </v:rect>
                <v:shape id="Freeform: Shape 1233344581" o:spid="_x0000_s1036" style="position:absolute;top:95;width:41141;height:12;visibility:visible;mso-wrap-style:square;v-text-anchor:middle" coordsize="4114165,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ThAyAAAAOMAAAAPAAAAZHJzL2Rvd25yZXYueG1sRE/JbsIw&#10;EL0j9R+sqdRbcSChQMCgqmqlLoeK5QOGeJpEjcep7YL5e1ypEsd5+yzX0XTiSM63lhWMhhkI4srq&#10;lmsF+93L/QyED8gaO8uk4Ewe1qubwRJLbU+8oeM21CKFsC9RQRNCX0rpq4YM+qHtiRP3ZZ3BkE5X&#10;S+3wlMJNJ8dZ9iANtpwaGuzpqaHqe/trFFSxdSg/PuM88z/Pxfv0zR42E6XubuPjAkSgGK7if/er&#10;TvPHeZ4XxWQ2gr+fEgBydQEAAP//AwBQSwECLQAUAAYACAAAACEA2+H2y+4AAACFAQAAEwAAAAAA&#10;AAAAAAAAAAAAAAAAW0NvbnRlbnRfVHlwZXNdLnhtbFBLAQItABQABgAIAAAAIQBa9CxbvwAAABUB&#10;AAALAAAAAAAAAAAAAAAAAB8BAABfcmVscy8ucmVsc1BLAQItABQABgAIAAAAIQAIGThAyAAAAOMA&#10;AAAPAAAAAAAAAAAAAAAAAAcCAABkcnMvZG93bnJldi54bWxQSwUGAAAAAAMAAwC3AAAA/AIAAAAA&#10;" path="m,l4114165,e" filled="f" strokeweight="1.5pt">
                  <v:stroke startarrowwidth="narrow" startarrowlength="short" endarrowwidth="narrow" endarrowlength="short"/>
                  <v:path arrowok="t" o:extrusionok="f"/>
                </v:shape>
              </v:group>
            </v:group>
          </w:pict>
        </mc:Fallback>
      </mc:AlternateContent>
    </w:r>
    <w:r>
      <w:rPr>
        <w:noProof/>
      </w:rPr>
      <w:drawing>
        <wp:anchor distT="0" distB="0" distL="0" distR="0" simplePos="0" relativeHeight="251660288" behindDoc="0" locked="0" layoutInCell="1" hidden="0" allowOverlap="1" wp14:anchorId="2782A8C5" wp14:editId="5A915040">
          <wp:simplePos x="0" y="0"/>
          <wp:positionH relativeFrom="column">
            <wp:posOffset>1637029</wp:posOffset>
          </wp:positionH>
          <wp:positionV relativeFrom="paragraph">
            <wp:posOffset>69133</wp:posOffset>
          </wp:positionV>
          <wp:extent cx="558800" cy="190500"/>
          <wp:effectExtent l="0" t="0" r="0" b="0"/>
          <wp:wrapNone/>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558800" cy="190500"/>
                  </a:xfrm>
                  <a:prstGeom prst="rect">
                    <a:avLst/>
                  </a:prstGeom>
                  <a:ln/>
                </pic:spPr>
              </pic:pic>
            </a:graphicData>
          </a:graphic>
        </wp:anchor>
      </w:drawing>
    </w:r>
  </w:p>
  <w:p w14:paraId="66AAFADA" w14:textId="77777777" w:rsidR="00627A8F" w:rsidRDefault="00627A8F">
    <w:pPr>
      <w:pBdr>
        <w:top w:val="nil"/>
        <w:left w:val="nil"/>
        <w:bottom w:val="nil"/>
        <w:right w:val="nil"/>
        <w:between w:val="nil"/>
      </w:pBdr>
      <w:tabs>
        <w:tab w:val="center" w:pos="4680"/>
        <w:tab w:val="right" w:pos="9360"/>
      </w:tabs>
      <w:jc w:val="both"/>
      <w:rPr>
        <w:rFonts w:ascii="Times New Roman" w:eastAsia="Times New Roman" w:hAnsi="Times New Roman" w:cs="Times New Roman"/>
        <w:color w:val="000000"/>
        <w:sz w:val="24"/>
        <w:szCs w:val="24"/>
      </w:rPr>
    </w:pPr>
  </w:p>
  <w:p w14:paraId="48666CD7" w14:textId="77777777" w:rsidR="00627A8F" w:rsidRDefault="00627A8F">
    <w:pPr>
      <w:pBdr>
        <w:top w:val="nil"/>
        <w:left w:val="nil"/>
        <w:bottom w:val="nil"/>
        <w:right w:val="nil"/>
        <w:between w:val="nil"/>
      </w:pBdr>
      <w:tabs>
        <w:tab w:val="center" w:pos="4680"/>
        <w:tab w:val="right" w:pos="9360"/>
      </w:tabs>
      <w:ind w:hanging="2"/>
      <w:jc w:val="both"/>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96E6E5" w14:textId="77777777" w:rsidR="00846286" w:rsidRDefault="00846286">
      <w:r>
        <w:separator/>
      </w:r>
    </w:p>
  </w:footnote>
  <w:footnote w:type="continuationSeparator" w:id="0">
    <w:p w14:paraId="1E989A06" w14:textId="77777777" w:rsidR="00846286" w:rsidRDefault="008462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F75E1" w14:textId="77777777" w:rsidR="00627A8F" w:rsidRDefault="00627A8F">
    <w:pPr>
      <w:pBdr>
        <w:top w:val="nil"/>
        <w:left w:val="nil"/>
        <w:bottom w:val="nil"/>
        <w:right w:val="nil"/>
        <w:between w:val="nil"/>
      </w:pBdr>
      <w:tabs>
        <w:tab w:val="center" w:pos="4513"/>
        <w:tab w:val="right" w:pos="9026"/>
      </w:tabs>
      <w:ind w:hanging="2"/>
      <w:jc w:val="both"/>
      <w:rPr>
        <w:rFonts w:ascii="Times New Roman" w:eastAsia="Times New Roman" w:hAnsi="Times New Roman" w:cs="Times New Roman"/>
        <w:color w:val="00000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61A74" w14:textId="77777777" w:rsidR="00627A8F" w:rsidRDefault="00000000">
    <w:pPr>
      <w:spacing w:before="35"/>
      <w:ind w:left="20"/>
      <w:rPr>
        <w:rFonts w:ascii="FS Me Light" w:eastAsia="FS Me Light" w:hAnsi="FS Me Light" w:cs="FS Me Light"/>
        <w:color w:val="231916"/>
        <w:sz w:val="14"/>
        <w:szCs w:val="14"/>
      </w:rPr>
    </w:pPr>
    <w:r>
      <w:rPr>
        <w:noProof/>
      </w:rPr>
      <w:drawing>
        <wp:anchor distT="0" distB="0" distL="0" distR="0" simplePos="0" relativeHeight="251658240" behindDoc="1" locked="0" layoutInCell="1" hidden="0" allowOverlap="1" wp14:anchorId="1C5621C9" wp14:editId="2F5ACC6D">
          <wp:simplePos x="0" y="0"/>
          <wp:positionH relativeFrom="column">
            <wp:posOffset>-714374</wp:posOffset>
          </wp:positionH>
          <wp:positionV relativeFrom="paragraph">
            <wp:posOffset>-394969</wp:posOffset>
          </wp:positionV>
          <wp:extent cx="7163039" cy="1592580"/>
          <wp:effectExtent l="0" t="0" r="0" b="0"/>
          <wp:wrapNone/>
          <wp:docPr id="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7163039" cy="1592580"/>
                  </a:xfrm>
                  <a:prstGeom prst="rect">
                    <a:avLst/>
                  </a:prstGeom>
                  <a:ln/>
                </pic:spPr>
              </pic:pic>
            </a:graphicData>
          </a:graphic>
        </wp:anchor>
      </w:drawing>
    </w:r>
  </w:p>
  <w:p w14:paraId="0C71A285" w14:textId="77777777" w:rsidR="00627A8F" w:rsidRDefault="00627A8F">
    <w:pPr>
      <w:spacing w:before="35"/>
      <w:ind w:left="20"/>
      <w:rPr>
        <w:rFonts w:ascii="FS Me Light" w:eastAsia="FS Me Light" w:hAnsi="FS Me Light" w:cs="FS Me Light"/>
        <w:color w:val="231916"/>
        <w:sz w:val="14"/>
        <w:szCs w:val="14"/>
      </w:rPr>
    </w:pPr>
  </w:p>
  <w:p w14:paraId="7E747BA4" w14:textId="77777777" w:rsidR="00627A8F" w:rsidRDefault="00627A8F">
    <w:pPr>
      <w:spacing w:before="35"/>
      <w:ind w:left="20"/>
      <w:rPr>
        <w:rFonts w:ascii="FS Me Light" w:eastAsia="FS Me Light" w:hAnsi="FS Me Light" w:cs="FS Me Light"/>
        <w:color w:val="231916"/>
        <w:sz w:val="14"/>
        <w:szCs w:val="14"/>
      </w:rPr>
    </w:pPr>
  </w:p>
  <w:p w14:paraId="55B82CAD" w14:textId="77777777" w:rsidR="00627A8F" w:rsidRDefault="00627A8F">
    <w:pPr>
      <w:spacing w:before="35"/>
      <w:ind w:left="20"/>
      <w:rPr>
        <w:rFonts w:ascii="FS Me Light" w:eastAsia="FS Me Light" w:hAnsi="FS Me Light" w:cs="FS Me Light"/>
        <w:color w:val="231916"/>
        <w:sz w:val="14"/>
        <w:szCs w:val="14"/>
      </w:rPr>
    </w:pPr>
  </w:p>
  <w:p w14:paraId="1596CA7B" w14:textId="77777777" w:rsidR="00627A8F" w:rsidRDefault="00627A8F">
    <w:pPr>
      <w:pBdr>
        <w:top w:val="nil"/>
        <w:left w:val="nil"/>
        <w:bottom w:val="nil"/>
        <w:right w:val="nil"/>
        <w:between w:val="nil"/>
      </w:pBdr>
      <w:tabs>
        <w:tab w:val="center" w:pos="4513"/>
        <w:tab w:val="right" w:pos="9026"/>
        <w:tab w:val="left" w:pos="2143"/>
        <w:tab w:val="right" w:pos="9027"/>
      </w:tabs>
      <w:ind w:hanging="2"/>
      <w:rPr>
        <w:rFonts w:ascii="Century Gothic" w:eastAsia="Century Gothic" w:hAnsi="Century Gothic" w:cs="Century Gothic"/>
        <w:color w:val="000000"/>
        <w:sz w:val="16"/>
        <w:szCs w:val="16"/>
      </w:rPr>
    </w:pPr>
  </w:p>
  <w:p w14:paraId="54E29E29" w14:textId="77777777" w:rsidR="00627A8F" w:rsidRDefault="00000000">
    <w:pPr>
      <w:pBdr>
        <w:top w:val="nil"/>
        <w:left w:val="nil"/>
        <w:bottom w:val="nil"/>
        <w:right w:val="nil"/>
        <w:between w:val="nil"/>
      </w:pBdr>
      <w:tabs>
        <w:tab w:val="center" w:pos="4513"/>
        <w:tab w:val="right" w:pos="9026"/>
        <w:tab w:val="left" w:pos="2143"/>
        <w:tab w:val="right" w:pos="9027"/>
      </w:tabs>
      <w:ind w:hanging="2"/>
      <w:rPr>
        <w:rFonts w:ascii="Cambria" w:eastAsia="Cambria" w:hAnsi="Cambria" w:cs="Cambria"/>
        <w:i/>
        <w:iCs/>
        <w:color w:val="000000"/>
        <w:sz w:val="24"/>
        <w:szCs w:val="24"/>
      </w:rPr>
    </w:pPr>
    <w:r>
      <w:rPr>
        <w:rFonts w:ascii="Century Gothic" w:eastAsia="Century Gothic" w:hAnsi="Century Gothic" w:cs="Century Gothic"/>
        <w:color w:val="000000"/>
        <w:sz w:val="16"/>
        <w:szCs w:val="16"/>
      </w:rPr>
      <w:t>Author et al., Journal of Sendratasik Education (2025)</w:t>
    </w:r>
  </w:p>
  <w:p w14:paraId="14DA5DB1" w14:textId="77777777" w:rsidR="00627A8F" w:rsidRDefault="00000000">
    <w:pPr>
      <w:pBdr>
        <w:top w:val="nil"/>
        <w:left w:val="nil"/>
        <w:bottom w:val="nil"/>
        <w:right w:val="nil"/>
        <w:between w:val="nil"/>
      </w:pBdr>
      <w:tabs>
        <w:tab w:val="center" w:pos="4513"/>
        <w:tab w:val="right" w:pos="9026"/>
      </w:tabs>
      <w:ind w:hanging="2"/>
      <w:rPr>
        <w:rFonts w:ascii="Times New Roman" w:eastAsia="Times New Roman" w:hAnsi="Times New Roman" w:cs="Times New Roman"/>
        <w:color w:val="000000"/>
        <w:sz w:val="24"/>
        <w:szCs w:val="24"/>
      </w:rPr>
    </w:pPr>
    <w:r>
      <w:rPr>
        <w:rFonts w:ascii="Century Gothic" w:eastAsia="Century Gothic" w:hAnsi="Century Gothic" w:cs="Century Gothic"/>
        <w:b/>
        <w:bCs/>
        <w:color w:val="000000"/>
        <w:sz w:val="16"/>
        <w:szCs w:val="16"/>
      </w:rPr>
      <w:t>https://doi.org/10.26740/vt.v1n1.p1xx-1xx</w:t>
    </w:r>
  </w:p>
  <w:p w14:paraId="18491E21" w14:textId="77777777" w:rsidR="00627A8F" w:rsidRDefault="00627A8F">
    <w:pPr>
      <w:spacing w:before="35"/>
      <w:ind w:left="20"/>
      <w:rPr>
        <w:b/>
        <w:bCs/>
        <w:color w:val="231916"/>
        <w:sz w:val="14"/>
        <w:szCs w:val="1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55FF2" w14:textId="77777777" w:rsidR="00627A8F" w:rsidRDefault="00000000">
    <w:pPr>
      <w:pBdr>
        <w:top w:val="nil"/>
        <w:left w:val="nil"/>
        <w:bottom w:val="nil"/>
        <w:right w:val="nil"/>
        <w:between w:val="nil"/>
      </w:pBdr>
      <w:tabs>
        <w:tab w:val="center" w:pos="4513"/>
        <w:tab w:val="right" w:pos="9026"/>
        <w:tab w:val="left" w:pos="2143"/>
        <w:tab w:val="right" w:pos="9027"/>
      </w:tabs>
      <w:ind w:hanging="2"/>
      <w:jc w:val="right"/>
      <w:rPr>
        <w:rFonts w:ascii="Cambria" w:eastAsia="Cambria" w:hAnsi="Cambria" w:cs="Cambria"/>
        <w:i/>
        <w:iCs/>
        <w:color w:val="000000"/>
        <w:sz w:val="24"/>
        <w:szCs w:val="24"/>
      </w:rPr>
    </w:pPr>
    <w:r>
      <w:rPr>
        <w:rFonts w:ascii="Century Gothic" w:eastAsia="Century Gothic" w:hAnsi="Century Gothic" w:cs="Century Gothic"/>
        <w:color w:val="000000"/>
        <w:sz w:val="16"/>
        <w:szCs w:val="16"/>
      </w:rPr>
      <w:t>Author et al., Journal of Sendratasik Education (2025)</w:t>
    </w:r>
  </w:p>
  <w:p w14:paraId="2AEEADDE" w14:textId="77777777" w:rsidR="00627A8F" w:rsidRDefault="00000000">
    <w:pPr>
      <w:pBdr>
        <w:top w:val="nil"/>
        <w:left w:val="nil"/>
        <w:bottom w:val="nil"/>
        <w:right w:val="nil"/>
        <w:between w:val="nil"/>
      </w:pBdr>
      <w:tabs>
        <w:tab w:val="center" w:pos="4513"/>
        <w:tab w:val="right" w:pos="9026"/>
      </w:tabs>
      <w:ind w:hanging="2"/>
      <w:jc w:val="right"/>
      <w:rPr>
        <w:rFonts w:ascii="Times New Roman" w:eastAsia="Times New Roman" w:hAnsi="Times New Roman" w:cs="Times New Roman"/>
        <w:color w:val="000000"/>
        <w:sz w:val="24"/>
        <w:szCs w:val="24"/>
      </w:rPr>
    </w:pPr>
    <w:r>
      <w:rPr>
        <w:rFonts w:ascii="Century Gothic" w:eastAsia="Century Gothic" w:hAnsi="Century Gothic" w:cs="Century Gothic"/>
        <w:b/>
        <w:bCs/>
        <w:color w:val="000000"/>
        <w:sz w:val="16"/>
        <w:szCs w:val="16"/>
      </w:rPr>
      <w:t>https://doi.org/10.26740/vt.v1n1.p1xx-1xx</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A8F"/>
    <w:rsid w:val="001636F5"/>
    <w:rsid w:val="00187F94"/>
    <w:rsid w:val="00206075"/>
    <w:rsid w:val="00294508"/>
    <w:rsid w:val="002974F6"/>
    <w:rsid w:val="003A3A47"/>
    <w:rsid w:val="005A63D0"/>
    <w:rsid w:val="00627A8F"/>
    <w:rsid w:val="006848C4"/>
    <w:rsid w:val="007B1517"/>
    <w:rsid w:val="00846286"/>
    <w:rsid w:val="009828BB"/>
    <w:rsid w:val="00B26B4C"/>
    <w:rsid w:val="00D85AD3"/>
    <w:rsid w:val="00DC4705"/>
    <w:rsid w:val="00EC5D81"/>
    <w:rsid w:val="00F12C22"/>
    <w:rsid w:val="00F360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45E5C"/>
  <w15:docId w15:val="{272CB04F-7035-4892-B6F2-613FC2350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id-ID"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pBdr>
        <w:top w:val="nil"/>
        <w:left w:val="nil"/>
        <w:bottom w:val="nil"/>
        <w:right w:val="nil"/>
        <w:between w:val="nil"/>
      </w:pBdr>
      <w:tabs>
        <w:tab w:val="left" w:pos="425"/>
      </w:tabs>
      <w:spacing w:before="240" w:after="60"/>
      <w:ind w:hanging="1"/>
      <w:jc w:val="both"/>
      <w:outlineLvl w:val="0"/>
    </w:pPr>
    <w:rPr>
      <w:b/>
      <w:bCs/>
      <w:color w:val="000000"/>
      <w:sz w:val="32"/>
      <w:szCs w:val="32"/>
    </w:rPr>
  </w:style>
  <w:style w:type="paragraph" w:styleId="Heading2">
    <w:name w:val="heading 2"/>
    <w:basedOn w:val="Normal"/>
    <w:next w:val="Normal"/>
    <w:uiPriority w:val="9"/>
    <w:unhideWhenUsed/>
    <w:qFormat/>
    <w:pPr>
      <w:keepNext/>
      <w:pBdr>
        <w:top w:val="nil"/>
        <w:left w:val="nil"/>
        <w:bottom w:val="nil"/>
        <w:right w:val="nil"/>
        <w:between w:val="nil"/>
      </w:pBdr>
      <w:tabs>
        <w:tab w:val="left" w:pos="425"/>
      </w:tabs>
      <w:spacing w:before="240" w:after="60"/>
      <w:ind w:hanging="1"/>
      <w:jc w:val="both"/>
      <w:outlineLvl w:val="1"/>
    </w:pPr>
    <w:rPr>
      <w:rFonts w:ascii="Times New Roman" w:eastAsia="Times New Roman" w:hAnsi="Times New Roman" w:cs="Times New Roman"/>
      <w:b/>
      <w:bCs/>
      <w:i/>
      <w:iCs/>
      <w:color w:val="000000"/>
      <w:sz w:val="28"/>
      <w:szCs w:val="28"/>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 w:type="character" w:styleId="Hyperlink">
    <w:name w:val="Hyperlink"/>
    <w:basedOn w:val="DefaultParagraphFont"/>
    <w:uiPriority w:val="99"/>
    <w:unhideWhenUsed/>
    <w:rsid w:val="007B1517"/>
    <w:rPr>
      <w:color w:val="0000FF" w:themeColor="hyperlink"/>
      <w:u w:val="single"/>
    </w:rPr>
  </w:style>
  <w:style w:type="character" w:styleId="UnresolvedMention">
    <w:name w:val="Unresolved Mention"/>
    <w:basedOn w:val="DefaultParagraphFont"/>
    <w:uiPriority w:val="99"/>
    <w:semiHidden/>
    <w:unhideWhenUsed/>
    <w:rsid w:val="007B15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mailto:eniewahyuning@unesa.ac.id" TargetMode="External"/><Relationship Id="rId17" Type="http://schemas.openxmlformats.org/officeDocument/2006/relationships/header" Target="header3.xml"/><Relationship Id="rId2" Type="http://schemas.openxmlformats.org/officeDocument/2006/relationships/settings" Target="settings.xml"/><Relationship Id="rId16" Type="http://schemas.openxmlformats.org/officeDocument/2006/relationships/footer" Target="footer2.xml"/><Relationship Id="rId20" Type="http://schemas.openxmlformats.org/officeDocument/2006/relationships/hyperlink" Target="https://doi.org/10.3917/sta.103.0053" TargetMode="External"/><Relationship Id="rId1" Type="http://schemas.openxmlformats.org/officeDocument/2006/relationships/styles" Target="styles.xml"/><Relationship Id="rId6" Type="http://schemas.openxmlformats.org/officeDocument/2006/relationships/image" Target="media/image6.png"/><Relationship Id="rId11" Type="http://schemas.openxmlformats.org/officeDocument/2006/relationships/image" Target="media/image5.jpeg"/><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image" Target="media/image8.jpg"/><Relationship Id="rId4" Type="http://schemas.openxmlformats.org/officeDocument/2006/relationships/footnotes" Target="footnotes.xml"/><Relationship Id="rId9" Type="http://schemas.openxmlformats.org/officeDocument/2006/relationships/image" Target="media/image3.jpg"/><Relationship Id="rId14" Type="http://schemas.openxmlformats.org/officeDocument/2006/relationships/header" Target="header2.xm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3.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 Id="rId4"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13</Pages>
  <Words>6093</Words>
  <Characters>34733</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sarah salsabila</cp:lastModifiedBy>
  <cp:revision>7</cp:revision>
  <dcterms:created xsi:type="dcterms:W3CDTF">2026-07-17T17:46:00Z</dcterms:created>
  <dcterms:modified xsi:type="dcterms:W3CDTF">2026-07-18T08:32:00Z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documentId_327</vt:lpwstr>
  </property>
  <property fmtid="{D5CDD505-2E9C-101B-9397-08002B2CF9AE}" pid="3" name="grammarly_documentContext">
    <vt:lpwstr>{"goals":[],"domain":"general","emotions":[],"dialect":"american"}</vt:lpwstr>
  </property>
</Properties>
</file>