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2426D5D" w14:textId="77777777" w:rsidR="00AC2DBB" w:rsidRPr="008D3831" w:rsidRDefault="001F7AC1" w:rsidP="00681ED4">
      <w:pPr>
        <w:ind w:right="28"/>
        <w:contextualSpacing/>
        <w:rPr>
          <w:rFonts w:eastAsia="Times New Roman"/>
          <w:b/>
          <w:sz w:val="22"/>
          <w:szCs w:val="22"/>
          <w:lang w:val="id-ID"/>
        </w:rPr>
      </w:pPr>
      <w:r w:rsidRPr="008D3831">
        <w:rPr>
          <w:rFonts w:eastAsia="Times New Roman"/>
          <w:b/>
          <w:sz w:val="22"/>
          <w:szCs w:val="22"/>
          <w:lang w:val="id-ID"/>
        </w:rPr>
        <w:t xml:space="preserve">PENGGUNAAN ‘BUJUK RAYU’ SEBAGAI PERLUASAN MAKNA </w:t>
      </w:r>
      <w:r w:rsidR="005061F6" w:rsidRPr="008D3831">
        <w:rPr>
          <w:rFonts w:eastAsia="Times New Roman"/>
          <w:b/>
          <w:sz w:val="22"/>
          <w:szCs w:val="22"/>
          <w:lang w:val="id-ID"/>
        </w:rPr>
        <w:t>PASAL</w:t>
      </w:r>
      <w:r w:rsidRPr="008D3831">
        <w:rPr>
          <w:rFonts w:eastAsia="Times New Roman"/>
          <w:b/>
          <w:sz w:val="22"/>
          <w:szCs w:val="22"/>
          <w:lang w:val="id-ID"/>
        </w:rPr>
        <w:t xml:space="preserve"> 285 K</w:t>
      </w:r>
      <w:r w:rsidR="00D14E27" w:rsidRPr="008D3831">
        <w:rPr>
          <w:rFonts w:eastAsia="Times New Roman"/>
          <w:b/>
          <w:sz w:val="22"/>
          <w:szCs w:val="22"/>
        </w:rPr>
        <w:t>ITAB UNDANG-UNDANG HUKUM PIDANA</w:t>
      </w:r>
      <w:r w:rsidRPr="008D3831">
        <w:rPr>
          <w:rFonts w:eastAsia="Times New Roman"/>
          <w:b/>
          <w:sz w:val="22"/>
          <w:szCs w:val="22"/>
          <w:lang w:val="id-ID"/>
        </w:rPr>
        <w:t xml:space="preserve"> DALAM TINDAK PIDANA PERKOSAAN</w:t>
      </w:r>
    </w:p>
    <w:p w14:paraId="396A628D" w14:textId="77777777" w:rsidR="00AC2DBB" w:rsidRPr="008D3831" w:rsidRDefault="001F7AC1">
      <w:pPr>
        <w:pStyle w:val="StyleAuthorBold"/>
        <w:spacing w:before="0" w:after="120"/>
        <w:rPr>
          <w:lang w:val="id-ID"/>
        </w:rPr>
      </w:pPr>
      <w:r w:rsidRPr="008D3831">
        <w:rPr>
          <w:rFonts w:eastAsia="Times New Roman"/>
          <w:lang w:val="id-ID"/>
        </w:rPr>
        <w:t>(</w:t>
      </w:r>
      <w:r w:rsidR="00C07392" w:rsidRPr="008D3831">
        <w:rPr>
          <w:rFonts w:eastAsia="Times New Roman"/>
          <w:lang w:val="id-ID"/>
        </w:rPr>
        <w:t>STUDI PUTUSAN</w:t>
      </w:r>
      <w:r w:rsidR="00C07392" w:rsidRPr="008D3831">
        <w:rPr>
          <w:rFonts w:eastAsia="Times New Roman"/>
        </w:rPr>
        <w:t xml:space="preserve"> MAHKAMAH AGUNG</w:t>
      </w:r>
      <w:r w:rsidR="00C07392" w:rsidRPr="008D3831">
        <w:rPr>
          <w:rFonts w:eastAsia="Times New Roman"/>
          <w:lang w:val="id-ID"/>
        </w:rPr>
        <w:t xml:space="preserve"> NOMOR </w:t>
      </w:r>
      <w:r w:rsidR="00C07392" w:rsidRPr="008D3831">
        <w:rPr>
          <w:rFonts w:eastAsia="Times New Roman"/>
        </w:rPr>
        <w:t>786 K/PID/2015</w:t>
      </w:r>
      <w:r w:rsidRPr="008D3831">
        <w:rPr>
          <w:rFonts w:eastAsia="Times New Roman"/>
          <w:lang w:val="id-ID"/>
        </w:rPr>
        <w:t>)</w:t>
      </w:r>
    </w:p>
    <w:p w14:paraId="415385ED" w14:textId="77777777" w:rsidR="00AC2DBB" w:rsidRPr="008D3831" w:rsidRDefault="001F7AC1" w:rsidP="00AF4529">
      <w:pPr>
        <w:pStyle w:val="StyleAuthorBold"/>
        <w:spacing w:after="0"/>
        <w:rPr>
          <w:lang w:val="id-ID"/>
        </w:rPr>
      </w:pPr>
      <w:r w:rsidRPr="008D3831">
        <w:rPr>
          <w:lang w:val="id-ID"/>
        </w:rPr>
        <w:t>Bagus Dwi Wahyudi</w:t>
      </w:r>
    </w:p>
    <w:p w14:paraId="3C45B29C" w14:textId="77777777" w:rsidR="00AC2DBB" w:rsidRPr="008D3831" w:rsidRDefault="001F7AC1" w:rsidP="00681ED4">
      <w:pPr>
        <w:pStyle w:val="Afiliasi"/>
        <w:spacing w:before="0" w:after="0"/>
      </w:pPr>
      <w:r w:rsidRPr="008D3831">
        <w:t>(S1 Ilmu Hukum, Fakultas Ilmu Sosial dan Hukum, Universitas Negeri Surabaya)</w:t>
      </w:r>
    </w:p>
    <w:p w14:paraId="58E1D885" w14:textId="77777777" w:rsidR="00AC2DBB" w:rsidRPr="008D3831" w:rsidRDefault="001F7AC1" w:rsidP="00681ED4">
      <w:pPr>
        <w:pStyle w:val="Afiliasi"/>
        <w:spacing w:before="0" w:after="120"/>
      </w:pPr>
      <w:r w:rsidRPr="008D3831">
        <w:rPr>
          <w:rStyle w:val="Hyperlink"/>
          <w:color w:val="auto"/>
        </w:rPr>
        <w:t>baguswahyudi@mhs.unesa.ac.id</w:t>
      </w:r>
    </w:p>
    <w:p w14:paraId="6B3C5BF4" w14:textId="77777777" w:rsidR="00AC2DBB" w:rsidRPr="008D3831" w:rsidRDefault="001F7AC1" w:rsidP="00AF4529">
      <w:pPr>
        <w:pStyle w:val="StyleAuthorBold"/>
        <w:spacing w:after="0"/>
        <w:rPr>
          <w:lang w:val="id-ID"/>
        </w:rPr>
      </w:pPr>
      <w:r w:rsidRPr="008D3831">
        <w:rPr>
          <w:lang w:val="id-ID"/>
        </w:rPr>
        <w:t>Emmilia Rusdiana</w:t>
      </w:r>
    </w:p>
    <w:p w14:paraId="05A0803A" w14:textId="77777777" w:rsidR="00AC2DBB" w:rsidRPr="008D3831" w:rsidRDefault="001F7AC1" w:rsidP="00681ED4">
      <w:pPr>
        <w:pStyle w:val="Afiliasi"/>
        <w:spacing w:before="0" w:after="0"/>
      </w:pPr>
      <w:r w:rsidRPr="008D3831">
        <w:t>(S1 Ilmu Hukum, Fakultas Ilmu Sosial dan Hukum, Universitas Negeri Surabaya)</w:t>
      </w:r>
    </w:p>
    <w:p w14:paraId="7963E9CA" w14:textId="77777777" w:rsidR="00B75AA8" w:rsidRPr="008D3831" w:rsidRDefault="00B8110D" w:rsidP="00681ED4">
      <w:pPr>
        <w:pStyle w:val="Afiliasi"/>
        <w:spacing w:before="0" w:after="120"/>
        <w:rPr>
          <w:rStyle w:val="Hyperlink"/>
          <w:color w:val="auto"/>
        </w:rPr>
      </w:pPr>
      <w:hyperlink r:id="rId9" w:history="1">
        <w:r w:rsidR="001F7AC1" w:rsidRPr="008D3831">
          <w:rPr>
            <w:rStyle w:val="Hyperlink"/>
            <w:color w:val="auto"/>
          </w:rPr>
          <w:t>emmiliarusdiana@unesa.ac.id</w:t>
        </w:r>
      </w:hyperlink>
    </w:p>
    <w:p w14:paraId="090CD77B" w14:textId="77777777" w:rsidR="00B75AA8" w:rsidRPr="008D3831" w:rsidRDefault="00B75AA8" w:rsidP="00B75AA8">
      <w:pPr>
        <w:spacing w:before="240" w:after="40"/>
        <w:ind w:left="567" w:right="567"/>
        <w:rPr>
          <w:b/>
          <w:lang w:val="id-ID"/>
        </w:rPr>
      </w:pPr>
      <w:r w:rsidRPr="008D3831">
        <w:rPr>
          <w:b/>
          <w:lang w:val="id-ID"/>
        </w:rPr>
        <w:t>Abstrak</w:t>
      </w:r>
    </w:p>
    <w:p w14:paraId="4CB34F24" w14:textId="77777777" w:rsidR="00B75AA8" w:rsidRPr="008D3831" w:rsidRDefault="005061F6" w:rsidP="00C7441F">
      <w:pPr>
        <w:ind w:left="567" w:right="567"/>
        <w:contextualSpacing/>
        <w:jc w:val="both"/>
        <w:rPr>
          <w:lang w:val="id-ID"/>
        </w:rPr>
      </w:pPr>
      <w:r w:rsidRPr="008D3831">
        <w:rPr>
          <w:lang w:val="id-ID"/>
        </w:rPr>
        <w:t>Pasal</w:t>
      </w:r>
      <w:r w:rsidR="00B75AA8" w:rsidRPr="008D3831">
        <w:rPr>
          <w:lang w:val="id-ID"/>
        </w:rPr>
        <w:t xml:space="preserve"> 285 KUHP mengatur tentang</w:t>
      </w:r>
      <w:r w:rsidR="00D14E27" w:rsidRPr="008D3831">
        <w:rPr>
          <w:lang w:val="id-ID"/>
        </w:rPr>
        <w:t xml:space="preserve"> tindak pidana perkosaan. </w:t>
      </w:r>
      <w:r w:rsidR="00D14E27" w:rsidRPr="008D3831">
        <w:t>U</w:t>
      </w:r>
      <w:r w:rsidR="00B75AA8" w:rsidRPr="008D3831">
        <w:rPr>
          <w:lang w:val="id-ID"/>
        </w:rPr>
        <w:t>nsur-unsur</w:t>
      </w:r>
      <w:r w:rsidR="00D14E27" w:rsidRPr="008D3831">
        <w:t xml:space="preserve"> </w:t>
      </w:r>
      <w:r w:rsidRPr="008D3831">
        <w:t>Pasal</w:t>
      </w:r>
      <w:r w:rsidR="00D14E27" w:rsidRPr="008D3831">
        <w:t xml:space="preserve"> 285 KUHP</w:t>
      </w:r>
      <w:r w:rsidR="00B75AA8" w:rsidRPr="008D3831">
        <w:rPr>
          <w:lang w:val="id-ID"/>
        </w:rPr>
        <w:t xml:space="preserve"> yaitu </w:t>
      </w:r>
      <w:r w:rsidR="005A136C" w:rsidRPr="008D3831">
        <w:rPr>
          <w:lang w:val="id-ID"/>
        </w:rPr>
        <w:t xml:space="preserve">perbuatanya memaksa, caranya dengan kekerasan ataupun </w:t>
      </w:r>
      <w:r w:rsidR="00B75AA8" w:rsidRPr="008D3831">
        <w:rPr>
          <w:lang w:val="id-ID"/>
        </w:rPr>
        <w:t>ancaman kekerasan, objeknya seorang perempuan bukan istrinya, bersetubuh dengan dia. Namun, s</w:t>
      </w:r>
      <w:r w:rsidR="005A136C" w:rsidRPr="008D3831">
        <w:rPr>
          <w:lang w:val="id-ID"/>
        </w:rPr>
        <w:t>e</w:t>
      </w:r>
      <w:r w:rsidR="00B75AA8" w:rsidRPr="008D3831">
        <w:rPr>
          <w:lang w:val="id-ID"/>
        </w:rPr>
        <w:t xml:space="preserve">iring perkembangan zaman muncul modus-modus baru dalam tindak pidana perkosaan. Salah satunya sepertinya terdapat dalam Putusan Pengadilan Tinggi Bengkulu Nomor 12/PID/2015/PT.BGL. </w:t>
      </w:r>
      <w:r w:rsidR="00D14E27" w:rsidRPr="008D3831">
        <w:rPr>
          <w:lang w:val="id-ID"/>
        </w:rPr>
        <w:t>Dalam pertimbangan hakim disebutkan bahwa</w:t>
      </w:r>
      <w:r w:rsidR="00B75AA8" w:rsidRPr="008D3831">
        <w:rPr>
          <w:lang w:val="id-ID"/>
        </w:rPr>
        <w:t xml:space="preserve"> perbuatan bujuk rayu terdakwa terhadap korban sebagai unsur memaksa dalam </w:t>
      </w:r>
      <w:r w:rsidRPr="008D3831">
        <w:rPr>
          <w:lang w:val="id-ID"/>
        </w:rPr>
        <w:t>Pasal</w:t>
      </w:r>
      <w:r w:rsidR="00B75AA8" w:rsidRPr="008D3831">
        <w:rPr>
          <w:lang w:val="id-ID"/>
        </w:rPr>
        <w:t xml:space="preserve"> 285 KUHP. Definisi dari pemaksaan sendiri tercantum dalam </w:t>
      </w:r>
      <w:r w:rsidRPr="008D3831">
        <w:rPr>
          <w:lang w:val="id-ID"/>
        </w:rPr>
        <w:t>Pasal</w:t>
      </w:r>
      <w:r w:rsidR="00B75AA8" w:rsidRPr="008D3831">
        <w:rPr>
          <w:lang w:val="id-ID"/>
        </w:rPr>
        <w:t xml:space="preserve"> 335 ayat (1) angka 1 KUHP</w:t>
      </w:r>
      <w:r w:rsidR="005A136C" w:rsidRPr="008D3831">
        <w:rPr>
          <w:lang w:val="id-ID"/>
        </w:rPr>
        <w:t xml:space="preserve"> yang memiliki unsur barang siapa, secara melawan hukum,</w:t>
      </w:r>
      <w:r w:rsidR="00B75AA8" w:rsidRPr="008D3831">
        <w:rPr>
          <w:lang w:val="id-ID"/>
        </w:rPr>
        <w:t xml:space="preserve"> memaksa orang lain supaya melakukan, tidak melaku</w:t>
      </w:r>
      <w:r w:rsidR="005A136C" w:rsidRPr="008D3831">
        <w:rPr>
          <w:lang w:val="id-ID"/>
        </w:rPr>
        <w:t xml:space="preserve">kan atau membiarkan sesuatu, </w:t>
      </w:r>
      <w:r w:rsidR="00B75AA8" w:rsidRPr="008D3831">
        <w:rPr>
          <w:lang w:val="id-ID"/>
        </w:rPr>
        <w:t>dengan memakai kekerasan, sesuatu perbuatan lain maupun per</w:t>
      </w:r>
      <w:r w:rsidR="005A136C" w:rsidRPr="008D3831">
        <w:rPr>
          <w:lang w:val="id-ID"/>
        </w:rPr>
        <w:t xml:space="preserve">lakuan yang tak menyenangkan, </w:t>
      </w:r>
      <w:r w:rsidR="00B75AA8" w:rsidRPr="008D3831">
        <w:rPr>
          <w:lang w:val="id-ID"/>
        </w:rPr>
        <w:t xml:space="preserve"> atau dengan memakai ancaman kekerasan, sesuatu perbuatan lain maupun per</w:t>
      </w:r>
      <w:r w:rsidR="005A136C" w:rsidRPr="008D3831">
        <w:rPr>
          <w:lang w:val="id-ID"/>
        </w:rPr>
        <w:t xml:space="preserve">lakuan yang tak menyenangkan, </w:t>
      </w:r>
      <w:r w:rsidR="00B75AA8" w:rsidRPr="008D3831">
        <w:rPr>
          <w:lang w:val="id-ID"/>
        </w:rPr>
        <w:t xml:space="preserve">baik terhadap orang itu sendiri maupun orang lain. </w:t>
      </w:r>
      <w:r w:rsidR="005A136C" w:rsidRPr="008D3831">
        <w:rPr>
          <w:lang w:val="id-ID"/>
        </w:rPr>
        <w:t>Penelitian ini bertujuan untuk men</w:t>
      </w:r>
      <w:r w:rsidR="00D14E27" w:rsidRPr="008D3831">
        <w:rPr>
          <w:lang w:val="id-ID"/>
        </w:rPr>
        <w:t>ganalisis</w:t>
      </w:r>
      <w:r w:rsidR="005A136C" w:rsidRPr="008D3831">
        <w:rPr>
          <w:lang w:val="id-ID"/>
        </w:rPr>
        <w:t xml:space="preserve"> penggunaan bujuk rayu dalam </w:t>
      </w:r>
      <w:r w:rsidRPr="008D3831">
        <w:rPr>
          <w:lang w:val="id-ID"/>
        </w:rPr>
        <w:t>Pasal</w:t>
      </w:r>
      <w:r w:rsidR="005A136C" w:rsidRPr="008D3831">
        <w:rPr>
          <w:lang w:val="id-ID"/>
        </w:rPr>
        <w:t xml:space="preserve"> 81 ayat (2) Undang-Undang Nomor 23 Tahun 2002 tentang Perlindungan Anak pada orang dewasa dan mengetahui ketepatan perluasan makna frase “bujuk rayu” pada putusan hakim Pengadilan Tinggi Bengkulu Nomor 12/PID/2015/PT.BGL sebagai unsur memaksa dalam </w:t>
      </w:r>
      <w:r w:rsidRPr="008D3831">
        <w:rPr>
          <w:lang w:val="id-ID"/>
        </w:rPr>
        <w:t>Pasal</w:t>
      </w:r>
      <w:r w:rsidR="005A136C" w:rsidRPr="008D3831">
        <w:rPr>
          <w:lang w:val="id-ID"/>
        </w:rPr>
        <w:t xml:space="preserve"> 285 KUHP.</w:t>
      </w:r>
      <w:r w:rsidR="00B75AA8" w:rsidRPr="008D3831">
        <w:rPr>
          <w:lang w:val="id-ID"/>
        </w:rPr>
        <w:t xml:space="preserve"> Penelitian ini adalah penelitian yuridis normatif dengan menggunakan</w:t>
      </w:r>
      <w:r w:rsidR="00D14E27" w:rsidRPr="008D3831">
        <w:t xml:space="preserve"> analisis</w:t>
      </w:r>
      <w:r w:rsidR="00B75AA8" w:rsidRPr="008D3831">
        <w:rPr>
          <w:lang w:val="id-ID"/>
        </w:rPr>
        <w:t xml:space="preserve"> pendekatan Peru</w:t>
      </w:r>
      <w:r w:rsidR="005A136C" w:rsidRPr="008D3831">
        <w:rPr>
          <w:lang w:val="id-ID"/>
        </w:rPr>
        <w:t>ndang-undangan</w:t>
      </w:r>
      <w:r w:rsidR="00B75AA8" w:rsidRPr="008D3831">
        <w:rPr>
          <w:lang w:val="id-ID"/>
        </w:rPr>
        <w:t>, dan pendekatan konsep.</w:t>
      </w:r>
      <w:r w:rsidR="00581B67" w:rsidRPr="008D3831">
        <w:t xml:space="preserve"> </w:t>
      </w:r>
      <w:r w:rsidR="00B75AA8" w:rsidRPr="008D3831">
        <w:rPr>
          <w:lang w:val="id-ID"/>
        </w:rPr>
        <w:t>Hasil pe</w:t>
      </w:r>
      <w:r w:rsidR="005A136C" w:rsidRPr="008D3831">
        <w:rPr>
          <w:lang w:val="id-ID"/>
        </w:rPr>
        <w:t>nelitian dan pembahasan ini men</w:t>
      </w:r>
      <w:r w:rsidR="00B75AA8" w:rsidRPr="008D3831">
        <w:rPr>
          <w:lang w:val="id-ID"/>
        </w:rPr>
        <w:t xml:space="preserve">unjukan bahwa bujuk rayu yang terdapat dalam </w:t>
      </w:r>
      <w:r w:rsidRPr="008D3831">
        <w:rPr>
          <w:lang w:val="id-ID"/>
        </w:rPr>
        <w:t>Pasal</w:t>
      </w:r>
      <w:r w:rsidR="00B75AA8" w:rsidRPr="008D3831">
        <w:rPr>
          <w:lang w:val="id-ID"/>
        </w:rPr>
        <w:t xml:space="preserve"> 81 ayat (2) UU perlindungan anak tidak dapat diterapkan pada orang dewasa karena bertentangan dengan asas legalitas, </w:t>
      </w:r>
      <w:r w:rsidR="00B75AA8" w:rsidRPr="008D3831">
        <w:rPr>
          <w:i/>
          <w:lang w:val="id-ID"/>
        </w:rPr>
        <w:t xml:space="preserve">Argumentum a Contrario </w:t>
      </w:r>
      <w:r w:rsidR="00B75AA8" w:rsidRPr="008D3831">
        <w:rPr>
          <w:lang w:val="id-ID"/>
        </w:rPr>
        <w:t xml:space="preserve">dan tujuan dibuatnya UU perlindungan anak. Perbuatan bujuk rayu tidak memenuhi unsur memaksa dalam </w:t>
      </w:r>
      <w:r w:rsidRPr="008D3831">
        <w:rPr>
          <w:lang w:val="id-ID"/>
        </w:rPr>
        <w:t>Pasal</w:t>
      </w:r>
      <w:r w:rsidR="00B75AA8" w:rsidRPr="008D3831">
        <w:rPr>
          <w:lang w:val="id-ID"/>
        </w:rPr>
        <w:t xml:space="preserve"> 285 KUHP, karena memiliki pengertian dan konsep yang be</w:t>
      </w:r>
      <w:r w:rsidR="00D14E27" w:rsidRPr="008D3831">
        <w:rPr>
          <w:lang w:val="id-ID"/>
        </w:rPr>
        <w:t>rbeda. Penggunaan interpretasi</w:t>
      </w:r>
      <w:r w:rsidR="00CF3B1E" w:rsidRPr="008D3831">
        <w:rPr>
          <w:lang w:val="id-ID"/>
        </w:rPr>
        <w:t xml:space="preserve"> analogi</w:t>
      </w:r>
      <w:r w:rsidR="00B75AA8" w:rsidRPr="008D3831">
        <w:rPr>
          <w:lang w:val="id-ID"/>
        </w:rPr>
        <w:t xml:space="preserve"> terbatas</w:t>
      </w:r>
      <w:r w:rsidR="005A136C" w:rsidRPr="008D3831">
        <w:rPr>
          <w:lang w:val="id-ID"/>
        </w:rPr>
        <w:t xml:space="preserve"> terhadap kehormatan wanita sebagai barang</w:t>
      </w:r>
      <w:r w:rsidR="00B75AA8" w:rsidRPr="008D3831">
        <w:rPr>
          <w:lang w:val="id-ID"/>
        </w:rPr>
        <w:t xml:space="preserve"> menjadikan bujuk rayu dalam Putusan Pengadilan Tinggi Bengkulu Nomor 12/PID/2015/PT.BGL lebih tepat dikenakan sebagai tindak pidana penipuan. </w:t>
      </w:r>
    </w:p>
    <w:p w14:paraId="15F00088" w14:textId="77777777" w:rsidR="00B75AA8" w:rsidRPr="008D3831" w:rsidRDefault="00B75AA8" w:rsidP="00681ED4">
      <w:pPr>
        <w:ind w:left="567" w:right="567"/>
        <w:contextualSpacing/>
        <w:jc w:val="both"/>
        <w:rPr>
          <w:lang w:val="id-ID"/>
        </w:rPr>
      </w:pPr>
      <w:r w:rsidRPr="008D3831">
        <w:rPr>
          <w:b/>
          <w:lang w:val="id-ID"/>
        </w:rPr>
        <w:t>Kata Kunci</w:t>
      </w:r>
      <w:r w:rsidRPr="008D3831">
        <w:rPr>
          <w:lang w:val="id-ID"/>
        </w:rPr>
        <w:t xml:space="preserve"> : </w:t>
      </w:r>
      <w:r w:rsidR="005061F6" w:rsidRPr="008D3831">
        <w:rPr>
          <w:lang w:val="id-ID"/>
        </w:rPr>
        <w:t>Pasal</w:t>
      </w:r>
      <w:r w:rsidRPr="008D3831">
        <w:rPr>
          <w:lang w:val="id-ID"/>
        </w:rPr>
        <w:t xml:space="preserve"> 285 KUHP, Bujuk Rayu, Perkosaan.</w:t>
      </w:r>
    </w:p>
    <w:p w14:paraId="33511CD3" w14:textId="77777777" w:rsidR="00B75AA8" w:rsidRPr="008D3831" w:rsidRDefault="00B75AA8" w:rsidP="00681ED4">
      <w:pPr>
        <w:spacing w:before="240" w:after="40"/>
        <w:ind w:left="567" w:right="567"/>
        <w:rPr>
          <w:b/>
          <w:i/>
        </w:rPr>
      </w:pPr>
      <w:r w:rsidRPr="008D3831">
        <w:rPr>
          <w:b/>
          <w:i/>
          <w:lang w:val="id-ID"/>
        </w:rPr>
        <w:t>Abstract</w:t>
      </w:r>
    </w:p>
    <w:p w14:paraId="49CBA611" w14:textId="77777777" w:rsidR="00581B67" w:rsidRPr="008D3831" w:rsidRDefault="00D14E27" w:rsidP="005061F6">
      <w:pPr>
        <w:ind w:left="567" w:right="567"/>
        <w:contextualSpacing/>
        <w:jc w:val="both"/>
        <w:rPr>
          <w:i/>
          <w:lang w:val="id-ID"/>
        </w:rPr>
      </w:pPr>
      <w:r w:rsidRPr="008D3831">
        <w:rPr>
          <w:i/>
          <w:lang w:val="id-ID"/>
        </w:rPr>
        <w:t>Article 285 of the Criminal Code regulates the crime of rape. The elements of Article 285 of the Criminal Code are coercive acts, the way with violence or threats of violence, the object is a woman not his wife, having sex with him. However, with the development of the times appeared new modes in the crime of rape. One of them seems to be contained in the Decision of the High Court of Bengkulu Number 12/PID/2015/PT. BGL.</w:t>
      </w:r>
      <w:r w:rsidR="005A136C" w:rsidRPr="008D3831">
        <w:rPr>
          <w:i/>
          <w:lang w:val="id-ID"/>
        </w:rPr>
        <w:t xml:space="preserve"> </w:t>
      </w:r>
      <w:r w:rsidRPr="008D3831">
        <w:rPr>
          <w:i/>
          <w:lang w:val="id-ID"/>
        </w:rPr>
        <w:t xml:space="preserve">In consideration the judge mentioned that the act of persuasion of the accused against the victim as a forceful element in article 285 of the Criminal Code. The definition of coercion itself is stated in Article 335 paragraph (1) number 1 </w:t>
      </w:r>
      <w:r w:rsidR="00581B67" w:rsidRPr="008D3831">
        <w:rPr>
          <w:i/>
          <w:lang w:val="id-ID"/>
        </w:rPr>
        <w:t xml:space="preserve">of the </w:t>
      </w:r>
      <w:r w:rsidR="00581B67" w:rsidRPr="008D3831">
        <w:rPr>
          <w:i/>
        </w:rPr>
        <w:t>Criminal</w:t>
      </w:r>
      <w:r w:rsidRPr="008D3831">
        <w:rPr>
          <w:i/>
          <w:lang w:val="id-ID"/>
        </w:rPr>
        <w:t xml:space="preserve"> Code which has an element of anyone, unlawfully, forcing others to do, not do or allow something, by using violence, something other or unpleasant treatment, or by using threats of violence, something else or unpleasant treatment, either against the person himself or others.</w:t>
      </w:r>
      <w:r w:rsidR="00581B67" w:rsidRPr="008D3831">
        <w:rPr>
          <w:i/>
        </w:rPr>
        <w:t xml:space="preserve"> </w:t>
      </w:r>
      <w:r w:rsidRPr="008D3831">
        <w:rPr>
          <w:i/>
          <w:lang w:val="id-ID"/>
        </w:rPr>
        <w:t>This study aims to analyze the use of persuasion in article 81 paragraph (2) of Law No. 23 of 2002 on Child Protection in adults and to know the accuracy of the expansion of the meaning of the phrase "persuasion" in the decision of the judge of the High Court of Bengkulu Number 12/PID/2015/PT. BGL as a forceful element in Article 285 of the Criminal Code. This research is normative juridical research using analysis of legislation approach, and concept approach.</w:t>
      </w:r>
      <w:r w:rsidR="00581B67" w:rsidRPr="008D3831">
        <w:rPr>
          <w:i/>
        </w:rPr>
        <w:t xml:space="preserve"> </w:t>
      </w:r>
      <w:r w:rsidRPr="008D3831">
        <w:rPr>
          <w:i/>
          <w:lang w:val="id-ID"/>
        </w:rPr>
        <w:t>The results of this study and discussion show that the persuasion contained in article 81 paragraph (2) of the Child Protection Law cannot be applied to adults because it is contrary to the principle of legality, Argumentum a Contrario and the purpose of making the Child Protection Law.</w:t>
      </w:r>
      <w:r w:rsidR="005A136C" w:rsidRPr="008D3831">
        <w:rPr>
          <w:i/>
          <w:lang w:val="id-ID"/>
        </w:rPr>
        <w:t xml:space="preserve"> </w:t>
      </w:r>
      <w:r w:rsidRPr="008D3831">
        <w:rPr>
          <w:i/>
          <w:lang w:val="id-ID"/>
        </w:rPr>
        <w:t xml:space="preserve">The act of persuasion does not meet the element of coercion in article 285 of the Criminal Code, because it </w:t>
      </w:r>
      <w:r w:rsidRPr="008D3831">
        <w:rPr>
          <w:i/>
          <w:lang w:val="id-ID"/>
        </w:rPr>
        <w:lastRenderedPageBreak/>
        <w:t>has different understandings and concepts. The use of limited interpretation of analogy to the honor of women as goods makes persuasion in the Decision of the High Court of Bengkulu No. 12/PID/2015/PT. BGL is more appropriately charged as a criminal offence of fraud.</w:t>
      </w:r>
    </w:p>
    <w:p w14:paraId="24AEA4BB" w14:textId="77777777" w:rsidR="00B75AA8" w:rsidRPr="008D3831" w:rsidRDefault="00B75AA8" w:rsidP="00681ED4">
      <w:pPr>
        <w:ind w:left="567" w:right="569"/>
        <w:contextualSpacing/>
        <w:jc w:val="both"/>
        <w:rPr>
          <w:i/>
          <w:iCs/>
          <w:lang w:val="id-ID"/>
        </w:rPr>
      </w:pPr>
      <w:r w:rsidRPr="008D3831">
        <w:rPr>
          <w:b/>
          <w:i/>
          <w:lang w:val="id-ID"/>
        </w:rPr>
        <w:t>Keywords</w:t>
      </w:r>
      <w:r w:rsidRPr="008D3831">
        <w:rPr>
          <w:i/>
          <w:lang w:val="id-ID"/>
        </w:rPr>
        <w:t>: Article 285 of the Criminal Code, Seduction, Rape.</w:t>
      </w:r>
      <w:r w:rsidRPr="008D3831">
        <w:rPr>
          <w:i/>
          <w:iCs/>
          <w:lang w:val="id-ID"/>
        </w:rPr>
        <w:t xml:space="preserve"> </w:t>
      </w:r>
    </w:p>
    <w:p w14:paraId="5AF26982" w14:textId="77777777" w:rsidR="00B75AA8" w:rsidRPr="008D3831" w:rsidRDefault="00B75AA8" w:rsidP="00B75AA8">
      <w:pPr>
        <w:ind w:left="567" w:right="569"/>
        <w:contextualSpacing/>
        <w:jc w:val="both"/>
        <w:rPr>
          <w:i/>
          <w:iCs/>
          <w:lang w:val="id-ID"/>
        </w:rPr>
      </w:pPr>
    </w:p>
    <w:p w14:paraId="20C67652" w14:textId="77777777" w:rsidR="00AC2DBB" w:rsidRPr="008D3831" w:rsidRDefault="00AC2DBB" w:rsidP="00681ED4">
      <w:pPr>
        <w:spacing w:before="240" w:after="40"/>
        <w:ind w:right="567"/>
        <w:contextualSpacing/>
        <w:jc w:val="both"/>
        <w:rPr>
          <w:b/>
          <w:bCs/>
        </w:rPr>
        <w:sectPr w:rsidR="00AC2DBB" w:rsidRPr="008D3831" w:rsidSect="00581B67">
          <w:headerReference w:type="even" r:id="rId10"/>
          <w:headerReference w:type="default" r:id="rId11"/>
          <w:footerReference w:type="default" r:id="rId12"/>
          <w:headerReference w:type="first" r:id="rId13"/>
          <w:type w:val="continuous"/>
          <w:pgSz w:w="11909" w:h="16834"/>
          <w:pgMar w:top="1440" w:right="1440" w:bottom="1440" w:left="1440" w:header="720" w:footer="720" w:gutter="0"/>
          <w:cols w:space="720"/>
        </w:sectPr>
      </w:pPr>
    </w:p>
    <w:p w14:paraId="78B5F650" w14:textId="77777777" w:rsidR="00AC2DBB" w:rsidRPr="008D3831" w:rsidRDefault="001F7AC1" w:rsidP="00681ED4">
      <w:pPr>
        <w:pStyle w:val="Heading11"/>
        <w:numPr>
          <w:ilvl w:val="0"/>
          <w:numId w:val="0"/>
        </w:numPr>
        <w:tabs>
          <w:tab w:val="clear" w:pos="216"/>
          <w:tab w:val="clear" w:pos="576"/>
        </w:tabs>
        <w:spacing w:before="240" w:after="40"/>
        <w:jc w:val="both"/>
        <w:rPr>
          <w:b/>
          <w:lang w:val="id-ID"/>
        </w:rPr>
      </w:pPr>
      <w:r w:rsidRPr="008D3831">
        <w:rPr>
          <w:b/>
          <w:lang w:val="id-ID"/>
        </w:rPr>
        <w:lastRenderedPageBreak/>
        <w:t xml:space="preserve">PENDAHULUAN </w:t>
      </w:r>
    </w:p>
    <w:p w14:paraId="77B742AF" w14:textId="77777777" w:rsidR="00AC2DBB" w:rsidRPr="008D3831" w:rsidRDefault="00581B67" w:rsidP="0048135E">
      <w:pPr>
        <w:spacing w:line="276" w:lineRule="auto"/>
        <w:ind w:right="27" w:firstLine="426"/>
        <w:contextualSpacing/>
        <w:jc w:val="both"/>
        <w:rPr>
          <w:rFonts w:eastAsia="Times New Roman"/>
          <w:lang w:val="id-ID"/>
        </w:rPr>
      </w:pPr>
      <w:r w:rsidRPr="008D3831">
        <w:rPr>
          <w:rFonts w:eastAsia="Times New Roman"/>
          <w:lang w:val="id-ID"/>
        </w:rPr>
        <w:t xml:space="preserve">Kitab Undang-Undang Hukum Pidana (KUHP) mengatur delik-delik asusila dalam Bab XIV dari buku II mulai dari </w:t>
      </w:r>
      <w:r w:rsidR="005061F6" w:rsidRPr="008D3831">
        <w:rPr>
          <w:rFonts w:eastAsia="Times New Roman"/>
          <w:lang w:val="id-ID"/>
        </w:rPr>
        <w:t>Pasal</w:t>
      </w:r>
      <w:r w:rsidRPr="008D3831">
        <w:rPr>
          <w:rFonts w:eastAsia="Times New Roman"/>
          <w:lang w:val="id-ID"/>
        </w:rPr>
        <w:t xml:space="preserve"> 281 sampai dengan </w:t>
      </w:r>
      <w:r w:rsidR="005061F6" w:rsidRPr="008D3831">
        <w:rPr>
          <w:rFonts w:eastAsia="Times New Roman"/>
          <w:lang w:val="id-ID"/>
        </w:rPr>
        <w:t>Pasal</w:t>
      </w:r>
      <w:r w:rsidRPr="008D3831">
        <w:rPr>
          <w:rFonts w:eastAsia="Times New Roman"/>
          <w:lang w:val="id-ID"/>
        </w:rPr>
        <w:t xml:space="preserve"> 296.</w:t>
      </w:r>
      <w:r w:rsidR="001F7AC1" w:rsidRPr="008D3831">
        <w:rPr>
          <w:rFonts w:eastAsia="Times New Roman"/>
          <w:lang w:val="id-ID"/>
        </w:rPr>
        <w:t xml:space="preserve">  Khususnya untuk delik pemerkosaan atau </w:t>
      </w:r>
      <w:r w:rsidR="001F7AC1" w:rsidRPr="008D3831">
        <w:rPr>
          <w:rFonts w:eastAsia="Times New Roman"/>
          <w:i/>
          <w:lang w:val="id-ID"/>
        </w:rPr>
        <w:t>verkracting</w:t>
      </w:r>
      <w:r w:rsidR="001F7AC1" w:rsidRPr="008D3831">
        <w:rPr>
          <w:rFonts w:eastAsia="Times New Roman"/>
          <w:lang w:val="id-ID"/>
        </w:rPr>
        <w:t xml:space="preserve"> diatur dalam </w:t>
      </w:r>
      <w:r w:rsidR="005061F6" w:rsidRPr="008D3831">
        <w:rPr>
          <w:rFonts w:eastAsia="Times New Roman"/>
          <w:lang w:val="id-ID"/>
        </w:rPr>
        <w:t>Pasal</w:t>
      </w:r>
      <w:r w:rsidR="001F7AC1" w:rsidRPr="008D3831">
        <w:rPr>
          <w:rFonts w:eastAsia="Times New Roman"/>
          <w:lang w:val="id-ID"/>
        </w:rPr>
        <w:t xml:space="preserve"> 285 Kitab Undang-Undang Hukum Pidana yang menyebutkan bahwa :</w:t>
      </w:r>
    </w:p>
    <w:p w14:paraId="4C863BDE" w14:textId="77777777" w:rsidR="00AC2DBB" w:rsidRPr="008D3831" w:rsidRDefault="001F7AC1" w:rsidP="0048135E">
      <w:pPr>
        <w:spacing w:line="276" w:lineRule="auto"/>
        <w:ind w:left="426" w:firstLine="426"/>
        <w:jc w:val="both"/>
        <w:rPr>
          <w:rFonts w:eastAsia="Times New Roman"/>
          <w:i/>
          <w:lang w:val="id-ID"/>
        </w:rPr>
      </w:pPr>
      <w:r w:rsidRPr="008D3831">
        <w:rPr>
          <w:rFonts w:eastAsia="Times New Roman"/>
          <w:lang w:val="id-ID"/>
        </w:rPr>
        <w:t>”</w:t>
      </w:r>
      <w:r w:rsidR="003F71BF" w:rsidRPr="008D3831">
        <w:rPr>
          <w:rFonts w:eastAsia="Times New Roman"/>
          <w:i/>
          <w:lang w:val="id-ID"/>
        </w:rPr>
        <w:t>Barang siapa dengan kekerasan atau ancaman kekerasan memaksa seorang wanita bersetubuh dengan dia di luar perkawinan, diancam karena melakukan perkosaan dengan pidana penjara paling lama dua belas tahun.</w:t>
      </w:r>
      <w:r w:rsidRPr="008D3831">
        <w:rPr>
          <w:rFonts w:eastAsia="Times New Roman"/>
          <w:lang w:val="id-ID"/>
        </w:rPr>
        <w:t>”</w:t>
      </w:r>
      <w:r w:rsidR="00452318" w:rsidRPr="008D3831">
        <w:rPr>
          <w:rFonts w:eastAsia="Times New Roman"/>
          <w:lang w:val="id-ID"/>
        </w:rPr>
        <w:t xml:space="preserve"> </w:t>
      </w:r>
    </w:p>
    <w:p w14:paraId="54B39D12" w14:textId="0F48D045" w:rsidR="00AC2DBB" w:rsidRPr="008D3831" w:rsidRDefault="00CA2EF2" w:rsidP="0048135E">
      <w:pPr>
        <w:spacing w:line="276" w:lineRule="auto"/>
        <w:jc w:val="both"/>
        <w:rPr>
          <w:rFonts w:eastAsia="Times New Roman"/>
          <w:lang w:val="id-ID"/>
        </w:rPr>
      </w:pPr>
      <w:r w:rsidRPr="008D3831">
        <w:rPr>
          <w:rFonts w:eastAsia="Times New Roman"/>
        </w:rPr>
        <w:t>Pada Pasal ini y</w:t>
      </w:r>
      <w:r w:rsidR="001F7AC1" w:rsidRPr="008D3831">
        <w:rPr>
          <w:rFonts w:eastAsia="Times New Roman"/>
          <w:lang w:val="id-ID"/>
        </w:rPr>
        <w:t>ang diancam hukuman ialah dengan kekerasan atau ancaman kekerasan memaksa perempuan yang bukan</w:t>
      </w:r>
      <w:r w:rsidR="005A136C" w:rsidRPr="008D3831">
        <w:rPr>
          <w:rFonts w:eastAsia="Times New Roman"/>
          <w:lang w:val="id-ID"/>
        </w:rPr>
        <w:t xml:space="preserve"> istrinya bersetubuh dengan dia</w:t>
      </w:r>
      <w:r w:rsidR="005A136C" w:rsidRPr="008D3831">
        <w:rPr>
          <w:rFonts w:eastAsia="Times New Roman"/>
          <w:lang w:val="id-ID"/>
        </w:rPr>
        <w:fldChar w:fldCharType="begin" w:fldLock="1"/>
      </w:r>
      <w:r w:rsidR="002232FE" w:rsidRPr="008D3831">
        <w:rPr>
          <w:rFonts w:eastAsia="Times New Roman"/>
          <w:lang w:val="id-ID"/>
        </w:rPr>
        <w:instrText>ADDIN CSL_CITATION {"citationItems":[{"id":"ITEM-1","itemData":{"author":[{"dropping-particle":"","family":"Soesilo","given":"R","non-dropping-particle":"","parse-names":false,"suffix":""}],"id":"ITEM-1","issued":{"date-parts":[["1988"]]},"publisher":"Politeia","publisher-place":"Bogor","title":"Kitab Undang-Undang Hukum Pidana (KUHP) Serta Komentar-Komentarnya Lengkap Pasal Demi Pasal","type":"book"},"uris":["http://www.mendeley.com/documents/?uuid=4fe1ff7c-0926-4e24-83a7-1206f948370a"]}],"mendeley":{"formattedCitation":"(Soesilo 1988)","plainTextFormattedCitation":"(Soesilo 1988)","previouslyFormattedCitation":"(Soesilo 1988)"},"properties":{"noteIndex":0},"schema":"https://github.com/citation-style-language/schema/raw/master/csl-citation.json"}</w:instrText>
      </w:r>
      <w:r w:rsidR="005A136C" w:rsidRPr="008D3831">
        <w:rPr>
          <w:rFonts w:eastAsia="Times New Roman"/>
          <w:lang w:val="id-ID"/>
        </w:rPr>
        <w:fldChar w:fldCharType="separate"/>
      </w:r>
      <w:r w:rsidR="002232FE" w:rsidRPr="008D3831">
        <w:rPr>
          <w:rFonts w:eastAsia="Times New Roman"/>
          <w:noProof/>
          <w:lang w:val="id-ID"/>
        </w:rPr>
        <w:t>(Soesilo 1988)</w:t>
      </w:r>
      <w:r w:rsidR="005A136C" w:rsidRPr="008D3831">
        <w:rPr>
          <w:rFonts w:eastAsia="Times New Roman"/>
          <w:lang w:val="id-ID"/>
        </w:rPr>
        <w:fldChar w:fldCharType="end"/>
      </w:r>
      <w:r w:rsidR="005061F6" w:rsidRPr="008D3831">
        <w:rPr>
          <w:rFonts w:eastAsia="Times New Roman"/>
          <w:lang w:val="id-ID"/>
        </w:rPr>
        <w:t>.</w:t>
      </w:r>
      <w:r w:rsidR="001F7AC1" w:rsidRPr="008D3831">
        <w:rPr>
          <w:rFonts w:eastAsia="Times New Roman"/>
          <w:lang w:val="id-ID"/>
        </w:rPr>
        <w:t xml:space="preserve"> </w:t>
      </w:r>
    </w:p>
    <w:p w14:paraId="099DAB30" w14:textId="34079CE3" w:rsidR="00AC2DBB" w:rsidRPr="008D3831" w:rsidRDefault="001F7AC1" w:rsidP="00CA2EF2">
      <w:pPr>
        <w:ind w:right="27" w:firstLine="426"/>
        <w:contextualSpacing/>
        <w:jc w:val="both"/>
        <w:rPr>
          <w:rFonts w:eastAsia="Times New Roman"/>
          <w:lang w:val="id-ID"/>
        </w:rPr>
      </w:pPr>
      <w:r w:rsidRPr="008D3831">
        <w:rPr>
          <w:rFonts w:eastAsia="Times New Roman"/>
          <w:lang w:val="id-ID"/>
        </w:rPr>
        <w:t>Tindakan pemerkosaan adalah tindakan yang melanggar hukum, karena tindakan tersebut dapat merugikan orang lain yaitu orang</w:t>
      </w:r>
      <w:r w:rsidR="005A136C" w:rsidRPr="008D3831">
        <w:rPr>
          <w:rFonts w:eastAsia="Times New Roman"/>
          <w:lang w:val="id-ID"/>
        </w:rPr>
        <w:t xml:space="preserve"> yang telah diperkosa tersebut</w:t>
      </w:r>
      <w:r w:rsidR="002232FE" w:rsidRPr="008D3831">
        <w:rPr>
          <w:rFonts w:eastAsia="Times New Roman"/>
          <w:lang w:val="id-ID"/>
        </w:rPr>
        <w:fldChar w:fldCharType="begin" w:fldLock="1"/>
      </w:r>
      <w:r w:rsidR="002232FE" w:rsidRPr="008D3831">
        <w:rPr>
          <w:rFonts w:eastAsia="Times New Roman"/>
          <w:lang w:val="id-ID"/>
        </w:rPr>
        <w:instrText>ADDIN CSL_CITATION {"citationItems":[{"id":"ITEM-1","itemData":{"author":[{"dropping-particle":"","family":"Moeljatno","given":"","non-dropping-particle":"","parse-names":false,"suffix":""}],"id":"ITEM-1","issued":{"date-parts":[["2007"]]},"publisher":"Bumi Aksara","publisher-place":"Jakarta","title":"Kitab Undang-Undang Hukum Pidana","type":"book"},"uris":["http://www.mendeley.com/documents/?uuid=d8eb74d8-fc42-44ce-893a-d132b60fc3dd"]}],"mendeley":{"formattedCitation":"(Moeljatno 2007)","plainTextFormattedCitation":"(Moeljatno 2007)","previouslyFormattedCitation":"(Moeljatno 2007)"},"properties":{"noteIndex":0},"schema":"https://github.com/citation-style-language/schema/raw/master/csl-citation.json"}</w:instrText>
      </w:r>
      <w:r w:rsidR="002232FE" w:rsidRPr="008D3831">
        <w:rPr>
          <w:rFonts w:eastAsia="Times New Roman"/>
          <w:lang w:val="id-ID"/>
        </w:rPr>
        <w:fldChar w:fldCharType="separate"/>
      </w:r>
      <w:r w:rsidR="002232FE" w:rsidRPr="008D3831">
        <w:rPr>
          <w:rFonts w:eastAsia="Times New Roman"/>
          <w:noProof/>
          <w:lang w:val="id-ID"/>
        </w:rPr>
        <w:t>(Moeljatno 2007)</w:t>
      </w:r>
      <w:r w:rsidR="002232FE" w:rsidRPr="008D3831">
        <w:rPr>
          <w:rFonts w:eastAsia="Times New Roman"/>
          <w:lang w:val="id-ID"/>
        </w:rPr>
        <w:fldChar w:fldCharType="end"/>
      </w:r>
      <w:r w:rsidRPr="008D3831">
        <w:rPr>
          <w:rFonts w:eastAsia="Times New Roman"/>
          <w:lang w:val="id-ID"/>
        </w:rPr>
        <w:t xml:space="preserve">. </w:t>
      </w:r>
      <w:r w:rsidR="005A136C" w:rsidRPr="008D3831">
        <w:rPr>
          <w:rFonts w:eastAsia="Times New Roman"/>
          <w:lang w:val="id-ID"/>
        </w:rPr>
        <w:t>A</w:t>
      </w:r>
      <w:r w:rsidRPr="008D3831">
        <w:rPr>
          <w:rFonts w:eastAsia="Times New Roman"/>
          <w:lang w:val="id-ID"/>
        </w:rPr>
        <w:t xml:space="preserve">ncaman hukuman dalam </w:t>
      </w:r>
      <w:r w:rsidR="005061F6" w:rsidRPr="008D3831">
        <w:rPr>
          <w:rFonts w:eastAsia="Times New Roman"/>
          <w:lang w:val="id-ID"/>
        </w:rPr>
        <w:t>Pasal</w:t>
      </w:r>
      <w:r w:rsidR="00C67796" w:rsidRPr="008D3831">
        <w:rPr>
          <w:rFonts w:eastAsia="Times New Roman"/>
          <w:lang w:val="id-ID"/>
        </w:rPr>
        <w:t xml:space="preserve"> 285 KUHP</w:t>
      </w:r>
      <w:r w:rsidRPr="008D3831">
        <w:rPr>
          <w:rFonts w:eastAsia="Times New Roman"/>
          <w:lang w:val="id-ID"/>
        </w:rPr>
        <w:t xml:space="preserve"> ini ialah pria yang memaksa wanita, dimana wanita tersebut belum terikat perkawinan dengan pria tersebut dan pria tersebut melakukan hubungan selayaknya suami istri dengan dia </w:t>
      </w:r>
      <w:r w:rsidR="003F71BF" w:rsidRPr="008D3831">
        <w:rPr>
          <w:rFonts w:eastAsia="Times New Roman"/>
          <w:lang w:val="id-ID"/>
        </w:rPr>
        <w:t>dengan ancaman atau pemerkosaan</w:t>
      </w:r>
      <w:r w:rsidR="00452318" w:rsidRPr="008D3831">
        <w:rPr>
          <w:rFonts w:eastAsia="Times New Roman"/>
          <w:lang w:val="id-ID"/>
        </w:rPr>
        <w:t xml:space="preserve"> </w:t>
      </w:r>
      <w:r w:rsidR="00452318" w:rsidRPr="008D3831">
        <w:rPr>
          <w:rFonts w:eastAsia="Times New Roman"/>
          <w:lang w:val="id-ID"/>
        </w:rPr>
        <w:fldChar w:fldCharType="begin" w:fldLock="1"/>
      </w:r>
      <w:r w:rsidR="008514F2" w:rsidRPr="008D3831">
        <w:rPr>
          <w:rFonts w:eastAsia="Times New Roman"/>
          <w:lang w:val="id-ID"/>
        </w:rPr>
        <w:instrText>ADDIN CSL_CITATION {"citationItems":[{"id":"ITEM-1","itemData":{"author":[{"dropping-particle":"","family":"Sugandhi","given":"R","non-dropping-particle":"","parse-names":false,"suffix":""}],"id":"ITEM-1","issued":{"date-parts":[["1980"]]},"publisher":"Usaha Nasional","publisher-place":"Surabaya","title":"KUHP dan Penjelasannya","type":"book"},"uris":["http://www.mendeley.com/documents/?uuid=fbe0e7a0-c77f-4272-aff6-908cb2076927"]}],"mendeley":{"formattedCitation":"(Sugandhi 1980)","plainTextFormattedCitation":"(Sugandhi 1980)","previouslyFormattedCitation":"(Sugandhi 1980)"},"properties":{"noteIndex":0},"schema":"https://github.com/citation-style-language/schema/raw/master/csl-citation.json"}</w:instrText>
      </w:r>
      <w:r w:rsidR="00452318" w:rsidRPr="008D3831">
        <w:rPr>
          <w:rFonts w:eastAsia="Times New Roman"/>
          <w:lang w:val="id-ID"/>
        </w:rPr>
        <w:fldChar w:fldCharType="separate"/>
      </w:r>
      <w:r w:rsidR="002232FE" w:rsidRPr="008D3831">
        <w:rPr>
          <w:rFonts w:eastAsia="Times New Roman"/>
          <w:noProof/>
          <w:lang w:val="id-ID"/>
        </w:rPr>
        <w:t>(Sugandhi 1980)</w:t>
      </w:r>
      <w:r w:rsidR="00452318" w:rsidRPr="008D3831">
        <w:rPr>
          <w:rFonts w:eastAsia="Times New Roman"/>
          <w:lang w:val="id-ID"/>
        </w:rPr>
        <w:fldChar w:fldCharType="end"/>
      </w:r>
      <w:r w:rsidR="00452318" w:rsidRPr="008D3831">
        <w:rPr>
          <w:rFonts w:eastAsia="Times New Roman"/>
          <w:lang w:val="id-ID"/>
        </w:rPr>
        <w:t>.</w:t>
      </w:r>
      <w:r w:rsidR="005A136C" w:rsidRPr="008D3831">
        <w:rPr>
          <w:rFonts w:eastAsia="Times New Roman"/>
          <w:lang w:val="id-ID"/>
        </w:rPr>
        <w:t xml:space="preserve"> </w:t>
      </w:r>
      <w:r w:rsidRPr="008D3831">
        <w:rPr>
          <w:rFonts w:eastAsia="Times New Roman"/>
          <w:lang w:val="id-ID"/>
        </w:rPr>
        <w:t>Baru dapat dikatakan “persetubuhan”, apabila anggota kelamin Pria telah masuk kedalam lubang anggota kemaluan wanita sedemikian rupa, sehingga akhirnya mengeluarkan air mani</w:t>
      </w:r>
      <w:r w:rsidR="008514F2" w:rsidRPr="008D3831">
        <w:rPr>
          <w:rFonts w:eastAsia="Times New Roman"/>
        </w:rPr>
        <w:t>,</w:t>
      </w:r>
      <w:r w:rsidRPr="008D3831">
        <w:rPr>
          <w:rFonts w:eastAsia="Times New Roman"/>
          <w:lang w:val="id-ID"/>
        </w:rPr>
        <w:t xml:space="preserve"> </w:t>
      </w:r>
      <w:r w:rsidR="008514F2" w:rsidRPr="008D3831">
        <w:rPr>
          <w:rFonts w:eastAsia="Times New Roman"/>
        </w:rPr>
        <w:t>a</w:t>
      </w:r>
      <w:r w:rsidRPr="008D3831">
        <w:rPr>
          <w:rFonts w:eastAsia="Times New Roman"/>
          <w:lang w:val="id-ID"/>
        </w:rPr>
        <w:t xml:space="preserve">pabila yang dimaksud dengan kekerasan yaitu membuat orang jadi </w:t>
      </w:r>
      <w:r w:rsidR="005A136C" w:rsidRPr="008D3831">
        <w:rPr>
          <w:rFonts w:eastAsia="Times New Roman"/>
          <w:lang w:val="id-ID"/>
        </w:rPr>
        <w:t xml:space="preserve">pingsan atau tidak berdaya lagi </w:t>
      </w:r>
      <w:r w:rsidR="003F71BF" w:rsidRPr="008D3831">
        <w:rPr>
          <w:rFonts w:eastAsia="Times New Roman"/>
          <w:lang w:val="id-ID"/>
        </w:rPr>
        <w:fldChar w:fldCharType="begin" w:fldLock="1"/>
      </w:r>
      <w:r w:rsidR="008514F2" w:rsidRPr="008D3831">
        <w:rPr>
          <w:rFonts w:eastAsia="Times New Roman"/>
          <w:lang w:val="id-ID"/>
        </w:rPr>
        <w:instrText>ADDIN CSL_CITATION {"citationItems":[{"id":"ITEM-1","itemData":{"author":[{"dropping-particle":"","family":"Sugandhi","given":"R","non-dropping-particle":"","parse-names":false,"suffix":""}],"id":"ITEM-1","issued":{"date-parts":[["1980"]]},"publisher":"Usaha Nasional","publisher-place":"Surabaya","title":"KUHP dan Penjelasannya","type":"book"},"uris":["http://www.mendeley.com/documents/?uuid=fbe0e7a0-c77f-4272-aff6-908cb2076927"]}],"mendeley":{"formattedCitation":"(Sugandhi 1980)","plainTextFormattedCitation":"(Sugandhi 1980)","previouslyFormattedCitation":"(Sugandhi 1980)"},"properties":{"noteIndex":0},"schema":"https://github.com/citation-style-language/schema/raw/master/csl-citation.json"}</w:instrText>
      </w:r>
      <w:r w:rsidR="003F71BF" w:rsidRPr="008D3831">
        <w:rPr>
          <w:rFonts w:eastAsia="Times New Roman"/>
          <w:lang w:val="id-ID"/>
        </w:rPr>
        <w:fldChar w:fldCharType="separate"/>
      </w:r>
      <w:r w:rsidR="008514F2" w:rsidRPr="008D3831">
        <w:rPr>
          <w:rFonts w:eastAsia="Times New Roman"/>
          <w:noProof/>
          <w:lang w:val="id-ID"/>
        </w:rPr>
        <w:t>(Sugandhi 1980)</w:t>
      </w:r>
      <w:r w:rsidR="003F71BF" w:rsidRPr="008D3831">
        <w:rPr>
          <w:rFonts w:eastAsia="Times New Roman"/>
          <w:lang w:val="id-ID"/>
        </w:rPr>
        <w:fldChar w:fldCharType="end"/>
      </w:r>
      <w:r w:rsidR="005061F6" w:rsidRPr="008D3831">
        <w:rPr>
          <w:rFonts w:eastAsia="Times New Roman"/>
          <w:lang w:val="id-ID"/>
        </w:rPr>
        <w:t>.</w:t>
      </w:r>
    </w:p>
    <w:p w14:paraId="00BCF648" w14:textId="77777777" w:rsidR="00AC2DBB" w:rsidRPr="008D3831" w:rsidRDefault="001F7AC1" w:rsidP="0048135E">
      <w:pPr>
        <w:spacing w:line="276" w:lineRule="auto"/>
        <w:ind w:right="27" w:firstLine="426"/>
        <w:contextualSpacing/>
        <w:jc w:val="both"/>
        <w:rPr>
          <w:rFonts w:eastAsia="Times New Roman"/>
          <w:lang w:val="id-ID"/>
        </w:rPr>
      </w:pPr>
      <w:r w:rsidRPr="008D3831">
        <w:rPr>
          <w:rFonts w:eastAsia="Times New Roman"/>
          <w:lang w:val="id-ID"/>
        </w:rPr>
        <w:t>Tindak pidana perkosaan merupakan kejahatan yang cukup mendapat perhatian dikalangan masyarakat. Sering terlihat di media massa baik ditelevisi, koran, maupun internet diberitakan terjadi tindak pidana perkosaan. Tindak pidana ini sudah ada sejak dulu, atau dapat dikatakan sebagai suatu bentuk kejahatan klasik yang akan selalu mengikuti perkembangan kebudayaan manusia itu sendiri, akan selalu ada dan berkembang setiap saat. Tindak pidana perkosaan tidak hanya terjadi kota-kota besar yang relatif lebih maju kebudayaan dan kesadaran atau pengetahuan hukumnya, tapi juga terjadi di pedesaan yang relatif masih memegang nilai tradisi dan adat istiadat. Wanita dianggap makhluk yang lemah daripada laki-laki yang mengakibatkan mudahnya seseorang melakukan perbuatan perkosaan tersebut.</w:t>
      </w:r>
    </w:p>
    <w:p w14:paraId="6C40D137" w14:textId="77777777" w:rsidR="005061F6" w:rsidRPr="008D3831" w:rsidRDefault="005061F6" w:rsidP="0048135E">
      <w:pPr>
        <w:spacing w:line="276" w:lineRule="auto"/>
        <w:ind w:right="27" w:firstLine="426"/>
        <w:contextualSpacing/>
        <w:jc w:val="both"/>
        <w:rPr>
          <w:rFonts w:eastAsia="Times New Roman"/>
          <w:lang w:val="id-ID"/>
        </w:rPr>
      </w:pPr>
    </w:p>
    <w:p w14:paraId="0DA71981" w14:textId="24F41353" w:rsidR="00AC2DBB" w:rsidRPr="008D3831" w:rsidRDefault="001F7AC1" w:rsidP="0048135E">
      <w:pPr>
        <w:spacing w:line="276" w:lineRule="auto"/>
        <w:ind w:right="27" w:firstLine="426"/>
        <w:contextualSpacing/>
        <w:jc w:val="both"/>
        <w:rPr>
          <w:rFonts w:eastAsia="Times New Roman"/>
          <w:lang w:val="id-ID"/>
        </w:rPr>
      </w:pPr>
      <w:r w:rsidRPr="008D3831">
        <w:rPr>
          <w:rFonts w:eastAsia="Times New Roman"/>
          <w:lang w:val="id-ID"/>
        </w:rPr>
        <w:t xml:space="preserve">Ketentuan perundang-undangan sebenarnya telah mengatur masalah kesusilan sebagaimana tercantum </w:t>
      </w:r>
      <w:r w:rsidRPr="008D3831">
        <w:rPr>
          <w:rFonts w:eastAsia="Times New Roman"/>
          <w:lang w:val="id-ID"/>
        </w:rPr>
        <w:lastRenderedPageBreak/>
        <w:t>dalam Kitab Undang-undang Hukum pidana (KUHP) Bab XIV tentang kejahatan terhadap kesusilaan (</w:t>
      </w:r>
      <w:r w:rsidR="005061F6" w:rsidRPr="008D3831">
        <w:rPr>
          <w:rFonts w:eastAsia="Times New Roman"/>
          <w:lang w:val="id-ID"/>
        </w:rPr>
        <w:t>Pasal</w:t>
      </w:r>
      <w:r w:rsidRPr="008D3831">
        <w:rPr>
          <w:rFonts w:eastAsia="Times New Roman"/>
          <w:lang w:val="id-ID"/>
        </w:rPr>
        <w:t xml:space="preserve"> 281 s/d 296), khususnya mengenai tindak pidana perkosaan diatur pada </w:t>
      </w:r>
      <w:r w:rsidR="005061F6" w:rsidRPr="008D3831">
        <w:rPr>
          <w:rFonts w:eastAsia="Times New Roman"/>
          <w:lang w:val="id-ID"/>
        </w:rPr>
        <w:t>Pasal</w:t>
      </w:r>
      <w:r w:rsidRPr="008D3831">
        <w:rPr>
          <w:rFonts w:eastAsia="Times New Roman"/>
          <w:lang w:val="id-ID"/>
        </w:rPr>
        <w:t xml:space="preserve"> 285 KUHP. Meskipun hingga saat ini </w:t>
      </w:r>
      <w:r w:rsidR="005061F6" w:rsidRPr="008D3831">
        <w:rPr>
          <w:rFonts w:eastAsia="Times New Roman"/>
          <w:lang w:val="id-ID"/>
        </w:rPr>
        <w:t>Pasal</w:t>
      </w:r>
      <w:r w:rsidRPr="008D3831">
        <w:rPr>
          <w:rFonts w:eastAsia="Times New Roman"/>
          <w:lang w:val="id-ID"/>
        </w:rPr>
        <w:t xml:space="preserve"> 285 KUHP masih berlaku sebagai acuan </w:t>
      </w:r>
      <w:r w:rsidR="00DB011D" w:rsidRPr="008D3831">
        <w:rPr>
          <w:rFonts w:eastAsia="Times New Roman"/>
          <w:lang w:val="id-ID"/>
        </w:rPr>
        <w:t>normatif</w:t>
      </w:r>
      <w:r w:rsidRPr="008D3831">
        <w:rPr>
          <w:rFonts w:eastAsia="Times New Roman"/>
          <w:lang w:val="id-ID"/>
        </w:rPr>
        <w:t xml:space="preserve"> dalam penyelesaian kasus-kasus pemerkosaan di pengadilan, seiring dengan perkembangan jaman, definisi </w:t>
      </w:r>
      <w:r w:rsidR="005061F6" w:rsidRPr="008D3831">
        <w:rPr>
          <w:rFonts w:eastAsia="Times New Roman"/>
          <w:lang w:val="id-ID"/>
        </w:rPr>
        <w:t>pasal</w:t>
      </w:r>
      <w:r w:rsidRPr="008D3831">
        <w:rPr>
          <w:rFonts w:eastAsia="Times New Roman"/>
          <w:lang w:val="id-ID"/>
        </w:rPr>
        <w:t xml:space="preserve"> pemerkosaan tidak selalu bisa mengakomodir lagi terhadap penyelesaian-penyelesaian kasus kejahatan seksual yang secara substansi dapat di kategorikan sebagai tindakan pemaksaan/kekerasan/ancaman kekerasan seksual yang menjadi syarat terpenuhinya unsur </w:t>
      </w:r>
      <w:r w:rsidR="005061F6" w:rsidRPr="008D3831">
        <w:rPr>
          <w:rFonts w:eastAsia="Times New Roman"/>
          <w:lang w:val="id-ID"/>
        </w:rPr>
        <w:t>Pasal</w:t>
      </w:r>
      <w:r w:rsidRPr="008D3831">
        <w:rPr>
          <w:rFonts w:eastAsia="Times New Roman"/>
          <w:lang w:val="id-ID"/>
        </w:rPr>
        <w:t xml:space="preserve"> 285 Kitab Undang-Undang Hukum Pidana. Para penyusun </w:t>
      </w:r>
      <w:r w:rsidR="005061F6" w:rsidRPr="008D3831">
        <w:rPr>
          <w:rFonts w:eastAsia="Times New Roman"/>
          <w:lang w:val="id-ID"/>
        </w:rPr>
        <w:t xml:space="preserve">undang-undang </w:t>
      </w:r>
      <w:r w:rsidRPr="008D3831">
        <w:rPr>
          <w:rFonts w:eastAsia="Times New Roman"/>
          <w:lang w:val="id-ID"/>
        </w:rPr>
        <w:t xml:space="preserve">sendiri sudah menyadari betapa sempitnya (lemahnya) </w:t>
      </w:r>
      <w:r w:rsidR="005061F6" w:rsidRPr="008D3831">
        <w:rPr>
          <w:rFonts w:eastAsia="Times New Roman"/>
          <w:lang w:val="id-ID"/>
        </w:rPr>
        <w:t>Pasal</w:t>
      </w:r>
      <w:r w:rsidRPr="008D3831">
        <w:rPr>
          <w:rFonts w:eastAsia="Times New Roman"/>
          <w:lang w:val="id-ID"/>
        </w:rPr>
        <w:t xml:space="preserve"> pemerkosaan dalam KUHP dan akan membuat gagasan baru yang dapat menjangkau banyak kasus kekerasan seksual yang sejauh ini belum tercover oleh hukum formal supaya nantinya bisa mengakomodir seluruh kejahatan yang termasuk dalam kesusilaan/pemerkosaan dengan kekerasan maupun tidak dengan kekerasan . </w:t>
      </w:r>
    </w:p>
    <w:p w14:paraId="5E8A25E1" w14:textId="7D87B32F" w:rsidR="003F71BF" w:rsidRPr="008D3831" w:rsidRDefault="001F7AC1" w:rsidP="00D22624">
      <w:pPr>
        <w:ind w:right="27" w:firstLine="426"/>
        <w:contextualSpacing/>
        <w:jc w:val="both"/>
        <w:rPr>
          <w:rFonts w:eastAsia="Times New Roman"/>
          <w:lang w:val="id-ID"/>
        </w:rPr>
      </w:pPr>
      <w:r w:rsidRPr="008D3831">
        <w:rPr>
          <w:rFonts w:eastAsia="Times New Roman"/>
          <w:lang w:val="id-ID"/>
        </w:rPr>
        <w:t xml:space="preserve">Menurut Sugandi pengertian melakukan kekerasan sesuai </w:t>
      </w:r>
      <w:r w:rsidR="005061F6" w:rsidRPr="008D3831">
        <w:rPr>
          <w:rFonts w:eastAsia="Times New Roman"/>
          <w:lang w:val="id-ID"/>
        </w:rPr>
        <w:t>Pasal</w:t>
      </w:r>
      <w:r w:rsidRPr="008D3831">
        <w:rPr>
          <w:rFonts w:eastAsia="Times New Roman"/>
          <w:lang w:val="id-ID"/>
        </w:rPr>
        <w:t xml:space="preserve"> 89 Kitab U</w:t>
      </w:r>
      <w:r w:rsidR="003F71BF" w:rsidRPr="008D3831">
        <w:rPr>
          <w:rFonts w:eastAsia="Times New Roman"/>
          <w:lang w:val="id-ID"/>
        </w:rPr>
        <w:t xml:space="preserve">ndang-Undang Hukum Pidana ialah </w:t>
      </w:r>
      <w:r w:rsidRPr="008D3831">
        <w:rPr>
          <w:rFonts w:eastAsia="Times New Roman"/>
          <w:lang w:val="id-ID"/>
        </w:rPr>
        <w:t>“melakukan kekerasan” dapat disamakan dengan “membuat orang jadi pingsan atau tidak berdaya”. Adapun definisi pingsan artinya hilang ingatan atau tidak sadar dirinya” orang pingsan itu tidak mengetahui lagi apa yang terjadi dengan dirinya</w:t>
      </w:r>
      <w:r w:rsidR="00AD3A01" w:rsidRPr="008D3831">
        <w:rPr>
          <w:rFonts w:eastAsia="Times New Roman"/>
          <w:lang w:val="id-ID"/>
        </w:rPr>
        <w:fldChar w:fldCharType="begin" w:fldLock="1"/>
      </w:r>
      <w:r w:rsidR="00841AB4" w:rsidRPr="008D3831">
        <w:rPr>
          <w:rFonts w:eastAsia="Times New Roman"/>
          <w:lang w:val="id-ID"/>
        </w:rPr>
        <w:instrText>ADDIN CSL_CITATION {"citationItems":[{"id":"ITEM-1","itemData":{"author":[{"dropping-particle":"","family":"Sugandhi","given":"R","non-dropping-particle":"","parse-names":false,"suffix":""}],"id":"ITEM-1","issued":{"date-parts":[["1980"]]},"publisher":"Usaha Nasional","publisher-place":"Surabaya","title":"KUHP dan Penjelasannya","type":"book"},"uris":["http://www.mendeley.com/documents/?uuid=fbe0e7a0-c77f-4272-aff6-908cb2076927"]}],"mendeley":{"formattedCitation":"(Sugandhi 1980)","plainTextFormattedCitation":"(Sugandhi 1980)","previouslyFormattedCitation":"(Sugandhi 1980)"},"properties":{"noteIndex":0},"schema":"https://github.com/citation-style-language/schema/raw/master/csl-citation.json"}</w:instrText>
      </w:r>
      <w:r w:rsidR="00AD3A01" w:rsidRPr="008D3831">
        <w:rPr>
          <w:rFonts w:eastAsia="Times New Roman"/>
          <w:lang w:val="id-ID"/>
        </w:rPr>
        <w:fldChar w:fldCharType="separate"/>
      </w:r>
      <w:r w:rsidR="00AD3A01" w:rsidRPr="008D3831">
        <w:rPr>
          <w:rFonts w:eastAsia="Times New Roman"/>
          <w:noProof/>
          <w:lang w:val="id-ID"/>
        </w:rPr>
        <w:t>(Sugandhi 1980)</w:t>
      </w:r>
      <w:r w:rsidR="00AD3A01" w:rsidRPr="008D3831">
        <w:rPr>
          <w:rFonts w:eastAsia="Times New Roman"/>
          <w:lang w:val="id-ID"/>
        </w:rPr>
        <w:fldChar w:fldCharType="end"/>
      </w:r>
      <w:r w:rsidR="003F71BF" w:rsidRPr="008D3831">
        <w:rPr>
          <w:rFonts w:eastAsia="Times New Roman"/>
          <w:lang w:val="id-ID"/>
        </w:rPr>
        <w:t xml:space="preserve">. </w:t>
      </w:r>
    </w:p>
    <w:p w14:paraId="74DC1588" w14:textId="442182E6" w:rsidR="00AC2DBB" w:rsidRPr="008D3831" w:rsidRDefault="00D14E27" w:rsidP="0048135E">
      <w:pPr>
        <w:spacing w:line="276" w:lineRule="auto"/>
        <w:ind w:right="27" w:firstLine="426"/>
        <w:contextualSpacing/>
        <w:jc w:val="both"/>
        <w:rPr>
          <w:rFonts w:eastAsia="Times New Roman"/>
          <w:lang w:val="id-ID"/>
        </w:rPr>
      </w:pPr>
      <w:r w:rsidRPr="008D3831">
        <w:rPr>
          <w:rFonts w:eastAsia="Times New Roman"/>
          <w:lang w:val="id-ID"/>
        </w:rPr>
        <w:t xml:space="preserve"> “T</w:t>
      </w:r>
      <w:r w:rsidR="001F7AC1" w:rsidRPr="008D3831">
        <w:rPr>
          <w:rFonts w:eastAsia="Times New Roman"/>
          <w:lang w:val="id-ID"/>
        </w:rPr>
        <w:t xml:space="preserve">idak </w:t>
      </w:r>
      <w:r w:rsidR="003F71BF" w:rsidRPr="008D3831">
        <w:rPr>
          <w:rFonts w:eastAsia="Times New Roman"/>
          <w:lang w:val="id-ID"/>
        </w:rPr>
        <w:t xml:space="preserve">berdaya” menurut Sugandhi yaitu </w:t>
      </w:r>
      <w:r w:rsidR="001F7AC1" w:rsidRPr="008D3831">
        <w:rPr>
          <w:rFonts w:eastAsia="Times New Roman"/>
          <w:lang w:val="id-ID"/>
        </w:rPr>
        <w:t>“Tidak mempunyai kekuataan atau tenaga sama sekali, sehingga tidak mampu mengad</w:t>
      </w:r>
      <w:r w:rsidR="008514F2" w:rsidRPr="008D3831">
        <w:rPr>
          <w:rFonts w:eastAsia="Times New Roman"/>
          <w:lang w:val="id-ID"/>
        </w:rPr>
        <w:t xml:space="preserve">akan perlawanan sedikit jua pun </w:t>
      </w:r>
      <w:r w:rsidR="008514F2" w:rsidRPr="008D3831">
        <w:rPr>
          <w:rFonts w:eastAsia="Times New Roman"/>
          <w:lang w:val="id-ID"/>
        </w:rPr>
        <w:fldChar w:fldCharType="begin" w:fldLock="1"/>
      </w:r>
      <w:r w:rsidR="00DE7F03" w:rsidRPr="008D3831">
        <w:rPr>
          <w:rFonts w:eastAsia="Times New Roman"/>
          <w:lang w:val="id-ID"/>
        </w:rPr>
        <w:instrText>ADDIN CSL_CITATION {"citationItems":[{"id":"ITEM-1","itemData":{"author":[{"dropping-particle":"","family":"Sugandhi","given":"R","non-dropping-particle":"","parse-names":false,"suffix":""}],"id":"ITEM-1","issued":{"date-parts":[["1980"]]},"publisher":"Usaha Nasional","publisher-place":"Surabaya","title":"KUHP dan Penjelasannya","type":"book"},"uris":["http://www.mendeley.com/documents/?uuid=fbe0e7a0-c77f-4272-aff6-908cb2076927"]}],"mendeley":{"formattedCitation":"(Sugandhi 1980)","plainTextFormattedCitation":"(Sugandhi 1980)","previouslyFormattedCitation":"(Sugandhi 1980)"},"properties":{"noteIndex":0},"schema":"https://github.com/citation-style-language/schema/raw/master/csl-citation.json"}</w:instrText>
      </w:r>
      <w:r w:rsidR="008514F2" w:rsidRPr="008D3831">
        <w:rPr>
          <w:rFonts w:eastAsia="Times New Roman"/>
          <w:lang w:val="id-ID"/>
        </w:rPr>
        <w:fldChar w:fldCharType="separate"/>
      </w:r>
      <w:r w:rsidR="008514F2" w:rsidRPr="008D3831">
        <w:rPr>
          <w:rFonts w:eastAsia="Times New Roman"/>
          <w:noProof/>
          <w:lang w:val="id-ID"/>
        </w:rPr>
        <w:t>(Sugandhi 1980)</w:t>
      </w:r>
      <w:r w:rsidR="008514F2" w:rsidRPr="008D3831">
        <w:rPr>
          <w:rFonts w:eastAsia="Times New Roman"/>
          <w:lang w:val="id-ID"/>
        </w:rPr>
        <w:fldChar w:fldCharType="end"/>
      </w:r>
      <w:r w:rsidR="008514F2" w:rsidRPr="008D3831">
        <w:rPr>
          <w:rFonts w:eastAsia="Times New Roman"/>
          <w:lang w:val="id-ID"/>
        </w:rPr>
        <w:t>.</w:t>
      </w:r>
      <w:r w:rsidR="001F7AC1" w:rsidRPr="008D3831">
        <w:rPr>
          <w:rFonts w:eastAsia="Times New Roman"/>
          <w:lang w:val="id-ID"/>
        </w:rPr>
        <w:t xml:space="preserve"> Misalnya seperti halnya orang yang diikat dengan tali pada kaki dan tangannya terkurung dalam kamar terkena suntikan, sehingga orang itu menjadi lumpuh. Orang yang tidak berdaya ini masih dapat mengetahui</w:t>
      </w:r>
      <w:r w:rsidR="003F71BF" w:rsidRPr="008D3831">
        <w:rPr>
          <w:rFonts w:eastAsia="Times New Roman"/>
          <w:lang w:val="id-ID"/>
        </w:rPr>
        <w:t xml:space="preserve"> apa yang terjadi atas dirinya. </w:t>
      </w:r>
      <w:r w:rsidR="00784E04" w:rsidRPr="008D3831">
        <w:rPr>
          <w:rFonts w:eastAsia="Times New Roman"/>
          <w:lang w:val="id-ID"/>
        </w:rPr>
        <w:t>Inti</w:t>
      </w:r>
      <w:r w:rsidR="00AD3A01" w:rsidRPr="008D3831">
        <w:rPr>
          <w:rFonts w:eastAsia="Times New Roman"/>
          <w:lang w:val="id-ID"/>
        </w:rPr>
        <w:t xml:space="preserve"> yang menjadi</w:t>
      </w:r>
      <w:r w:rsidR="00784E04" w:rsidRPr="008D3831">
        <w:rPr>
          <w:rFonts w:eastAsia="Times New Roman"/>
          <w:lang w:val="id-ID"/>
        </w:rPr>
        <w:t xml:space="preserve"> </w:t>
      </w:r>
      <w:r w:rsidR="001F7AC1" w:rsidRPr="008D3831">
        <w:rPr>
          <w:rFonts w:eastAsia="Times New Roman"/>
          <w:lang w:val="id-ID"/>
        </w:rPr>
        <w:t xml:space="preserve">perhatian disini adalah bahwa “merayu” atau melakukan “bujuk rayu” tidak bisa disamakan dengan “melakukan kekerasan” atau “ancaman kekerasan” sesuai dengan yang diamanatkan </w:t>
      </w:r>
      <w:r w:rsidR="005061F6" w:rsidRPr="008D3831">
        <w:rPr>
          <w:rFonts w:eastAsia="Times New Roman"/>
          <w:lang w:val="id-ID"/>
        </w:rPr>
        <w:t>Pasal</w:t>
      </w:r>
      <w:r w:rsidR="001F7AC1" w:rsidRPr="008D3831">
        <w:rPr>
          <w:rFonts w:eastAsia="Times New Roman"/>
          <w:lang w:val="id-ID"/>
        </w:rPr>
        <w:t xml:space="preserve"> 285 Kitab Undang-Undang Hukum Pidana</w:t>
      </w:r>
      <w:r w:rsidR="00AD3A01" w:rsidRPr="008D3831">
        <w:rPr>
          <w:rFonts w:eastAsia="Times New Roman"/>
          <w:lang w:val="id-ID"/>
        </w:rPr>
        <w:t xml:space="preserve"> </w:t>
      </w:r>
      <w:r w:rsidR="00AD3A01" w:rsidRPr="008D3831">
        <w:rPr>
          <w:rFonts w:eastAsia="Times New Roman"/>
          <w:lang w:val="id-ID"/>
        </w:rPr>
        <w:fldChar w:fldCharType="begin" w:fldLock="1"/>
      </w:r>
      <w:r w:rsidR="00AD3A01" w:rsidRPr="008D3831">
        <w:rPr>
          <w:rFonts w:eastAsia="Times New Roman"/>
          <w:lang w:val="id-ID"/>
        </w:rPr>
        <w:instrText>ADDIN CSL_CITATION {"citationItems":[{"id":"ITEM-1","itemData":{"author":[{"dropping-particle":"","family":"Sugandhi","given":"R","non-dropping-particle":"","parse-names":false,"suffix":""}],"id":"ITEM-1","issued":{"date-parts":[["1980"]]},"publisher":"Usaha Nasional","publisher-place":"Surabaya","title":"KUHP dan Penjelasannya","type":"book"},"uris":["http://www.mendeley.com/documents/?uuid=fbe0e7a0-c77f-4272-aff6-908cb2076927"]}],"mendeley":{"formattedCitation":"(Sugandhi 1980)","plainTextFormattedCitation":"(Sugandhi 1980)","previouslyFormattedCitation":"(Sugandhi 1980)"},"properties":{"noteIndex":0},"schema":"https://github.com/citation-style-language/schema/raw/master/csl-citation.json"}</w:instrText>
      </w:r>
      <w:r w:rsidR="00AD3A01" w:rsidRPr="008D3831">
        <w:rPr>
          <w:rFonts w:eastAsia="Times New Roman"/>
          <w:lang w:val="id-ID"/>
        </w:rPr>
        <w:fldChar w:fldCharType="separate"/>
      </w:r>
      <w:r w:rsidR="00AD3A01" w:rsidRPr="008D3831">
        <w:rPr>
          <w:rFonts w:eastAsia="Times New Roman"/>
          <w:noProof/>
          <w:lang w:val="id-ID"/>
        </w:rPr>
        <w:t>(Sugandhi 1980)</w:t>
      </w:r>
      <w:r w:rsidR="00AD3A01" w:rsidRPr="008D3831">
        <w:rPr>
          <w:rFonts w:eastAsia="Times New Roman"/>
          <w:lang w:val="id-ID"/>
        </w:rPr>
        <w:fldChar w:fldCharType="end"/>
      </w:r>
      <w:r w:rsidR="001F7AC1" w:rsidRPr="008D3831">
        <w:rPr>
          <w:rFonts w:eastAsia="Times New Roman"/>
          <w:lang w:val="id-ID"/>
        </w:rPr>
        <w:t>.</w:t>
      </w:r>
    </w:p>
    <w:p w14:paraId="3A32F8B8" w14:textId="77777777" w:rsidR="00AC2DBB" w:rsidRPr="008D3831" w:rsidRDefault="001F7AC1" w:rsidP="0048135E">
      <w:pPr>
        <w:spacing w:line="276" w:lineRule="auto"/>
        <w:ind w:right="27" w:firstLine="426"/>
        <w:contextualSpacing/>
        <w:jc w:val="both"/>
        <w:rPr>
          <w:rFonts w:eastAsia="Times New Roman"/>
          <w:lang w:val="id-ID"/>
        </w:rPr>
      </w:pPr>
      <w:r w:rsidRPr="008D3831">
        <w:rPr>
          <w:rFonts w:eastAsia="Times New Roman"/>
          <w:lang w:val="id-ID"/>
        </w:rPr>
        <w:t xml:space="preserve">Dalam perkembangan jaman terdapat modus baru dalam tindak pidana perkosaan yang menyebabkan perilaku kekerasan maupun ancaman kekerasan dinilai tidak digunakan lagi untuk memperdayai korban (wanita). Mereka (laki-laki) kerap memperdayai korbannya dengan menggunakan rayuan, maupun janji palsu. Seperti mereka memberikan kata-kata rayuannya </w:t>
      </w:r>
      <w:r w:rsidRPr="008D3831">
        <w:rPr>
          <w:rFonts w:eastAsia="Times New Roman"/>
          <w:lang w:val="id-ID"/>
        </w:rPr>
        <w:lastRenderedPageBreak/>
        <w:t xml:space="preserve">dengan maksud memperoleh simpati lawan jenisnya (korban) dimana mempermudah dalam melakukan tindak pidana perkosaan. Pelaku disini dinilai telah ahli mengambil hati wanita sehingga mereka terbuai dengan perkataan tersebut. </w:t>
      </w:r>
    </w:p>
    <w:p w14:paraId="507C7D7D" w14:textId="77777777" w:rsidR="00AC2DBB" w:rsidRPr="008D3831" w:rsidRDefault="001F7AC1" w:rsidP="0048135E">
      <w:pPr>
        <w:spacing w:line="276" w:lineRule="auto"/>
        <w:ind w:right="27" w:firstLine="426"/>
        <w:contextualSpacing/>
        <w:jc w:val="both"/>
        <w:rPr>
          <w:rFonts w:eastAsia="Times New Roman"/>
          <w:lang w:val="id-ID"/>
        </w:rPr>
      </w:pPr>
      <w:r w:rsidRPr="008D3831">
        <w:rPr>
          <w:rFonts w:eastAsia="Times New Roman"/>
          <w:lang w:val="id-ID"/>
        </w:rPr>
        <w:t>Yayasan Pusat pendidikan dan pemberdayaan untuk Perempuan dan Anak (PUPA) Bengkulu mencatat tingginya angka kekerasan terhadap perempuan dan anak di daerah tersebut sebagai berikut :</w:t>
      </w:r>
    </w:p>
    <w:p w14:paraId="52E70BA9" w14:textId="77777777" w:rsidR="001602EB" w:rsidRPr="008D3831" w:rsidRDefault="001602EB" w:rsidP="0048135E">
      <w:pPr>
        <w:spacing w:line="276" w:lineRule="auto"/>
        <w:ind w:right="27"/>
        <w:contextualSpacing/>
        <w:rPr>
          <w:rFonts w:eastAsia="Times New Roman"/>
        </w:rPr>
      </w:pPr>
      <w:r w:rsidRPr="008D3831">
        <w:rPr>
          <w:rFonts w:eastAsia="Times New Roman"/>
          <w:lang w:val="id-ID"/>
        </w:rPr>
        <w:t>Tabel 1.1</w:t>
      </w:r>
    </w:p>
    <w:p w14:paraId="04B737C7" w14:textId="77777777" w:rsidR="001602EB" w:rsidRPr="008D3831" w:rsidRDefault="001602EB" w:rsidP="0048135E">
      <w:pPr>
        <w:spacing w:line="276" w:lineRule="auto"/>
        <w:ind w:right="27"/>
        <w:contextualSpacing/>
        <w:rPr>
          <w:rFonts w:eastAsia="Times New Roman"/>
        </w:rPr>
      </w:pPr>
      <w:r w:rsidRPr="008D3831">
        <w:rPr>
          <w:rFonts w:eastAsia="Times New Roman"/>
          <w:lang w:val="id-ID"/>
        </w:rPr>
        <w:t xml:space="preserve">Angka Kekerasan Terhadap Perempuan Dan Anak </w:t>
      </w:r>
      <w:r w:rsidRPr="008D3831">
        <w:rPr>
          <w:rFonts w:eastAsia="Times New Roman"/>
        </w:rPr>
        <w:t>d</w:t>
      </w:r>
      <w:r w:rsidRPr="008D3831">
        <w:rPr>
          <w:rFonts w:eastAsia="Times New Roman"/>
          <w:lang w:val="id-ID"/>
        </w:rPr>
        <w:t>i Daerah</w:t>
      </w:r>
      <w:r w:rsidRPr="008D3831">
        <w:rPr>
          <w:rFonts w:eastAsia="Times New Roman"/>
        </w:rPr>
        <w:t xml:space="preserve"> Bengkulu</w:t>
      </w:r>
    </w:p>
    <w:tbl>
      <w:tblPr>
        <w:tblStyle w:val="TableGrid"/>
        <w:tblW w:w="4536" w:type="dxa"/>
        <w:tblInd w:w="108" w:type="dxa"/>
        <w:tblLook w:val="04A0" w:firstRow="1" w:lastRow="0" w:firstColumn="1" w:lastColumn="0" w:noHBand="0" w:noVBand="1"/>
      </w:tblPr>
      <w:tblGrid>
        <w:gridCol w:w="2268"/>
        <w:gridCol w:w="2268"/>
      </w:tblGrid>
      <w:tr w:rsidR="008D3831" w:rsidRPr="008D3831" w14:paraId="49AC37FF" w14:textId="77777777" w:rsidTr="001602EB">
        <w:tc>
          <w:tcPr>
            <w:tcW w:w="2268" w:type="dxa"/>
          </w:tcPr>
          <w:p w14:paraId="03E3778E" w14:textId="77777777" w:rsidR="00AC2DBB" w:rsidRPr="008D3831" w:rsidRDefault="001F7AC1" w:rsidP="0048135E">
            <w:pPr>
              <w:spacing w:line="276" w:lineRule="auto"/>
              <w:rPr>
                <w:sz w:val="22"/>
                <w:szCs w:val="22"/>
                <w:lang w:val="id-ID"/>
              </w:rPr>
            </w:pPr>
            <w:r w:rsidRPr="008D3831">
              <w:rPr>
                <w:sz w:val="22"/>
                <w:szCs w:val="22"/>
                <w:lang w:val="id-ID"/>
              </w:rPr>
              <w:t>Tahun 2016</w:t>
            </w:r>
          </w:p>
        </w:tc>
        <w:tc>
          <w:tcPr>
            <w:tcW w:w="2268" w:type="dxa"/>
          </w:tcPr>
          <w:p w14:paraId="486E4725" w14:textId="77777777" w:rsidR="00AC2DBB" w:rsidRPr="008D3831" w:rsidRDefault="001F7AC1" w:rsidP="0048135E">
            <w:pPr>
              <w:spacing w:line="276" w:lineRule="auto"/>
              <w:rPr>
                <w:sz w:val="22"/>
                <w:szCs w:val="22"/>
                <w:lang w:val="id-ID"/>
              </w:rPr>
            </w:pPr>
            <w:r w:rsidRPr="008D3831">
              <w:rPr>
                <w:sz w:val="22"/>
                <w:szCs w:val="22"/>
                <w:lang w:val="id-ID"/>
              </w:rPr>
              <w:t>115 kasus</w:t>
            </w:r>
          </w:p>
        </w:tc>
      </w:tr>
      <w:tr w:rsidR="008D3831" w:rsidRPr="008D3831" w14:paraId="4B4EB1E4" w14:textId="77777777" w:rsidTr="001602EB">
        <w:tc>
          <w:tcPr>
            <w:tcW w:w="2268" w:type="dxa"/>
          </w:tcPr>
          <w:p w14:paraId="6EED1E81" w14:textId="77777777" w:rsidR="00AC2DBB" w:rsidRPr="008D3831" w:rsidRDefault="001F7AC1" w:rsidP="0048135E">
            <w:pPr>
              <w:spacing w:line="276" w:lineRule="auto"/>
              <w:rPr>
                <w:sz w:val="22"/>
                <w:szCs w:val="22"/>
                <w:lang w:val="id-ID"/>
              </w:rPr>
            </w:pPr>
            <w:r w:rsidRPr="008D3831">
              <w:rPr>
                <w:sz w:val="22"/>
                <w:szCs w:val="22"/>
                <w:lang w:val="id-ID"/>
              </w:rPr>
              <w:t>Tahun 2017</w:t>
            </w:r>
          </w:p>
        </w:tc>
        <w:tc>
          <w:tcPr>
            <w:tcW w:w="2268" w:type="dxa"/>
          </w:tcPr>
          <w:p w14:paraId="19B83825" w14:textId="77777777" w:rsidR="00AC2DBB" w:rsidRPr="008D3831" w:rsidRDefault="001F7AC1" w:rsidP="0048135E">
            <w:pPr>
              <w:spacing w:line="276" w:lineRule="auto"/>
              <w:rPr>
                <w:sz w:val="22"/>
                <w:szCs w:val="22"/>
                <w:lang w:val="id-ID"/>
              </w:rPr>
            </w:pPr>
            <w:r w:rsidRPr="008D3831">
              <w:rPr>
                <w:sz w:val="22"/>
                <w:szCs w:val="22"/>
                <w:lang w:val="id-ID"/>
              </w:rPr>
              <w:t>176 kasus</w:t>
            </w:r>
          </w:p>
        </w:tc>
      </w:tr>
      <w:tr w:rsidR="008D3831" w:rsidRPr="008D3831" w14:paraId="3F9F8F30" w14:textId="77777777" w:rsidTr="001602EB">
        <w:tc>
          <w:tcPr>
            <w:tcW w:w="2268" w:type="dxa"/>
          </w:tcPr>
          <w:p w14:paraId="250B587D" w14:textId="77777777" w:rsidR="00AC2DBB" w:rsidRPr="008D3831" w:rsidRDefault="001F7AC1" w:rsidP="0048135E">
            <w:pPr>
              <w:spacing w:line="276" w:lineRule="auto"/>
              <w:rPr>
                <w:sz w:val="22"/>
                <w:szCs w:val="22"/>
                <w:lang w:val="id-ID"/>
              </w:rPr>
            </w:pPr>
            <w:r w:rsidRPr="008D3831">
              <w:rPr>
                <w:sz w:val="22"/>
                <w:szCs w:val="22"/>
                <w:lang w:val="id-ID"/>
              </w:rPr>
              <w:t>Tahun 2018</w:t>
            </w:r>
          </w:p>
        </w:tc>
        <w:tc>
          <w:tcPr>
            <w:tcW w:w="2268" w:type="dxa"/>
          </w:tcPr>
          <w:p w14:paraId="3F4E7306" w14:textId="77777777" w:rsidR="00AC2DBB" w:rsidRPr="008D3831" w:rsidRDefault="001F7AC1" w:rsidP="0048135E">
            <w:pPr>
              <w:spacing w:line="276" w:lineRule="auto"/>
              <w:rPr>
                <w:sz w:val="22"/>
                <w:szCs w:val="22"/>
                <w:lang w:val="id-ID"/>
              </w:rPr>
            </w:pPr>
            <w:r w:rsidRPr="008D3831">
              <w:rPr>
                <w:sz w:val="22"/>
                <w:szCs w:val="22"/>
                <w:lang w:val="id-ID"/>
              </w:rPr>
              <w:t>113 kasus</w:t>
            </w:r>
          </w:p>
        </w:tc>
      </w:tr>
    </w:tbl>
    <w:p w14:paraId="6744EE64" w14:textId="77777777" w:rsidR="00AC2DBB" w:rsidRPr="008D3831" w:rsidRDefault="001F7AC1" w:rsidP="0048135E">
      <w:pPr>
        <w:spacing w:line="276" w:lineRule="auto"/>
        <w:ind w:left="426"/>
        <w:jc w:val="both"/>
        <w:rPr>
          <w:rFonts w:eastAsia="Times New Roman"/>
          <w:lang w:val="id-ID"/>
        </w:rPr>
      </w:pPr>
      <w:r w:rsidRPr="008D3831">
        <w:rPr>
          <w:rFonts w:eastAsia="Times New Roman"/>
          <w:lang w:val="id-ID"/>
        </w:rPr>
        <w:t>Sumber : data (PUPA) Bengkulu tahun 2018</w:t>
      </w:r>
    </w:p>
    <w:p w14:paraId="5A7A56E1" w14:textId="77777777" w:rsidR="00AC2DBB" w:rsidRPr="008D3831" w:rsidRDefault="00AC2DBB" w:rsidP="0048135E">
      <w:pPr>
        <w:spacing w:line="276" w:lineRule="auto"/>
        <w:ind w:left="426"/>
        <w:jc w:val="both"/>
        <w:rPr>
          <w:rFonts w:eastAsia="Times New Roman"/>
          <w:lang w:val="id-ID"/>
        </w:rPr>
      </w:pPr>
    </w:p>
    <w:p w14:paraId="2263ECCD" w14:textId="64A429FC" w:rsidR="00AC2DBB" w:rsidRPr="008D3831" w:rsidRDefault="001F7AC1" w:rsidP="005061F6">
      <w:pPr>
        <w:spacing w:line="276" w:lineRule="auto"/>
        <w:ind w:firstLine="426"/>
        <w:jc w:val="both"/>
        <w:rPr>
          <w:rFonts w:eastAsia="Times New Roman"/>
        </w:rPr>
      </w:pPr>
      <w:r w:rsidRPr="008D3831">
        <w:rPr>
          <w:rFonts w:eastAsia="Times New Roman"/>
          <w:lang w:val="id-ID"/>
        </w:rPr>
        <w:t xml:space="preserve">Meninjau dari tahun terakhir staf advokasi Yayasan Pusat pendidikan dan pemberdayaan untuk Perempuan dan Anak (PUPA) menjelaskan dari 113 kasus, tertinggi adalah pemerkosaan sebesar 26,6%, pencabulan sebesar 22%, penganiayaan 22%, kekerasan dalam rumah tangga(KDRT) 18,6%, dan kasus lain seperti pelecehan seksual, perundungan, penelantaran, percobaan perkosaan, </w:t>
      </w:r>
      <w:r w:rsidRPr="008D3831">
        <w:rPr>
          <w:rFonts w:eastAsia="Times New Roman"/>
          <w:i/>
          <w:lang w:val="id-ID"/>
        </w:rPr>
        <w:t>cyber harassement,</w:t>
      </w:r>
      <w:r w:rsidRPr="008D3831">
        <w:rPr>
          <w:rFonts w:eastAsia="Times New Roman"/>
          <w:lang w:val="id-ID"/>
        </w:rPr>
        <w:t xml:space="preserve"> hingga kekerasan yang menyebabkan perempuan meninggal. </w:t>
      </w:r>
      <w:r w:rsidR="00DE7F03" w:rsidRPr="008D3831">
        <w:rPr>
          <w:rFonts w:eastAsia="Times New Roman"/>
        </w:rPr>
        <w:t>Tingkat</w:t>
      </w:r>
      <w:r w:rsidRPr="008D3831">
        <w:rPr>
          <w:rFonts w:eastAsia="Times New Roman"/>
          <w:lang w:val="id-ID"/>
        </w:rPr>
        <w:t xml:space="preserve"> paling tinggi adalah kasus pemerkosaan.</w:t>
      </w:r>
      <w:r w:rsidR="002A7657" w:rsidRPr="008D3831">
        <w:rPr>
          <w:rFonts w:eastAsia="Times New Roman"/>
        </w:rPr>
        <w:t xml:space="preserve"> Penggunaan data tersebut disesuiakan dengan wilayah tempat kejadian perkara dalam Putusan Pengadilan Tinggi </w:t>
      </w:r>
      <w:r w:rsidR="002A7657" w:rsidRPr="008D3831">
        <w:rPr>
          <w:lang w:val="id-ID"/>
        </w:rPr>
        <w:t>Bengkulu Nomor 12/PID/2015/PT.BGL</w:t>
      </w:r>
      <w:r w:rsidR="00DE7F03" w:rsidRPr="008D3831">
        <w:t>.</w:t>
      </w:r>
    </w:p>
    <w:p w14:paraId="6E803FFF" w14:textId="77777777" w:rsidR="00AC2DBB" w:rsidRPr="008D3831" w:rsidRDefault="001F7AC1" w:rsidP="0048135E">
      <w:pPr>
        <w:spacing w:line="276" w:lineRule="auto"/>
        <w:ind w:right="27" w:firstLine="426"/>
        <w:contextualSpacing/>
        <w:jc w:val="both"/>
        <w:rPr>
          <w:rFonts w:eastAsia="Times New Roman"/>
          <w:lang w:val="id-ID"/>
        </w:rPr>
      </w:pPr>
      <w:r w:rsidRPr="008D3831">
        <w:rPr>
          <w:rFonts w:eastAsia="Times New Roman"/>
          <w:lang w:val="id-ID"/>
        </w:rPr>
        <w:t xml:space="preserve">Memutuskan suatu perkara adalah salah satu tugas hakim dalam menjalankan fungsi yudisialnya. Hakim tidak boleh menolak untuk memeriksa, mengadili, dan memustuskan perkara yang diajukan kepadanya dengan alasan tidak ada atau tidak jelas aturannya termasuk dalam kasus perkosaan yang unsur-unsurnya kurang sesuai dengan </w:t>
      </w:r>
      <w:r w:rsidR="005061F6" w:rsidRPr="008D3831">
        <w:rPr>
          <w:rFonts w:eastAsia="Times New Roman"/>
          <w:lang w:val="id-ID"/>
        </w:rPr>
        <w:t>Pasal</w:t>
      </w:r>
      <w:r w:rsidRPr="008D3831">
        <w:rPr>
          <w:rFonts w:eastAsia="Times New Roman"/>
          <w:lang w:val="id-ID"/>
        </w:rPr>
        <w:t xml:space="preserve"> 285 Kitab Undang-Undang Hukum Pidana. Aturan mengenai pengadilan yang dilarang menolak perkara tercantum dalam </w:t>
      </w:r>
      <w:r w:rsidR="005061F6" w:rsidRPr="008D3831">
        <w:rPr>
          <w:rFonts w:eastAsia="Times New Roman"/>
          <w:lang w:val="id-ID"/>
        </w:rPr>
        <w:t>Pasal</w:t>
      </w:r>
      <w:r w:rsidRPr="008D3831">
        <w:rPr>
          <w:rFonts w:eastAsia="Times New Roman"/>
          <w:lang w:val="id-ID"/>
        </w:rPr>
        <w:t xml:space="preserve"> 10 ayat (1) Undang-Undang Nomor 48 Tahun 2009, yang berbunyi:</w:t>
      </w:r>
    </w:p>
    <w:p w14:paraId="49241D6F" w14:textId="77777777" w:rsidR="00AC2DBB" w:rsidRPr="008D3831" w:rsidRDefault="001F7AC1" w:rsidP="0048135E">
      <w:pPr>
        <w:spacing w:line="276" w:lineRule="auto"/>
        <w:ind w:left="426" w:firstLine="426"/>
        <w:jc w:val="both"/>
        <w:rPr>
          <w:rFonts w:eastAsia="Times New Roman"/>
          <w:lang w:val="id-ID"/>
        </w:rPr>
      </w:pPr>
      <w:r w:rsidRPr="008D3831">
        <w:rPr>
          <w:rFonts w:eastAsia="Times New Roman"/>
          <w:lang w:val="id-ID"/>
        </w:rPr>
        <w:t>“</w:t>
      </w:r>
      <w:r w:rsidRPr="008D3831">
        <w:rPr>
          <w:rFonts w:eastAsia="Times New Roman"/>
          <w:i/>
          <w:lang w:val="id-ID"/>
        </w:rPr>
        <w:t>Pengadilan tidak boleh menolak untuk memeriksa dan mengadili sesuatu perkara yang diajukan dengan dalih bahwa hukum tidak atau kurang jelas, melainkan wajib untuk memeriksa dan mengadilinya.</w:t>
      </w:r>
      <w:r w:rsidRPr="008D3831">
        <w:rPr>
          <w:rFonts w:eastAsia="Times New Roman"/>
          <w:lang w:val="id-ID"/>
        </w:rPr>
        <w:t>”</w:t>
      </w:r>
    </w:p>
    <w:p w14:paraId="098A18A6" w14:textId="010F4464" w:rsidR="00AC2DBB" w:rsidRPr="008D3831" w:rsidRDefault="001F7AC1" w:rsidP="0048135E">
      <w:pPr>
        <w:spacing w:line="276" w:lineRule="auto"/>
        <w:ind w:right="27" w:firstLine="426"/>
        <w:contextualSpacing/>
        <w:jc w:val="both"/>
        <w:rPr>
          <w:rFonts w:eastAsia="Times New Roman"/>
          <w:lang w:val="id-ID"/>
        </w:rPr>
      </w:pPr>
      <w:r w:rsidRPr="008D3831">
        <w:rPr>
          <w:rFonts w:eastAsia="Times New Roman"/>
          <w:lang w:val="id-ID"/>
        </w:rPr>
        <w:t xml:space="preserve">Konsekuensi dari </w:t>
      </w:r>
      <w:r w:rsidR="005061F6" w:rsidRPr="008D3831">
        <w:rPr>
          <w:rFonts w:eastAsia="Times New Roman"/>
          <w:lang w:val="id-ID"/>
        </w:rPr>
        <w:t>Pasal</w:t>
      </w:r>
      <w:r w:rsidRPr="008D3831">
        <w:rPr>
          <w:rFonts w:eastAsia="Times New Roman"/>
          <w:lang w:val="id-ID"/>
        </w:rPr>
        <w:t xml:space="preserve"> 10 ayat (1) Undang-Undang Nomor 48 Tahun 2009 yakni, pengadilan tidak </w:t>
      </w:r>
      <w:r w:rsidR="008D3831" w:rsidRPr="008D3831">
        <w:rPr>
          <w:rFonts w:eastAsia="Times New Roman"/>
          <w:lang w:val="id-ID"/>
        </w:rPr>
        <w:t>dapat</w:t>
      </w:r>
      <w:r w:rsidRPr="008D3831">
        <w:rPr>
          <w:rFonts w:eastAsia="Times New Roman"/>
          <w:lang w:val="id-ID"/>
        </w:rPr>
        <w:t xml:space="preserve"> menolak suatu perkara walaupun unsur-unsurnya kurang sesuai dengan aturan yang ada. Terbatasnya ruang lingkup yang dapat diakomodir aturan hukum tertulis terhadap setiap peristiwa konkrit yang dihadapi oleh warga masyarakat yang kemudian diperhadapkan kepada </w:t>
      </w:r>
      <w:r w:rsidRPr="008D3831">
        <w:rPr>
          <w:rFonts w:eastAsia="Times New Roman"/>
          <w:lang w:val="id-ID"/>
        </w:rPr>
        <w:lastRenderedPageBreak/>
        <w:t>hakim untuk memeriksanya, mengadili dan memutuskan, telah melahirkan konsekwensi bagi hakim untuk melakukan penemuan hukum dalam arti luas. Penemuan hukum dalam arti luas yakni, penemuan hukum yang harus dilakukan oleh Hakim tidak terbatas hanya pada aturan hukum yang tertulis saja, akan tetapi lebih luas pada hukum yang tidak tertulis</w:t>
      </w:r>
      <w:r w:rsidR="00452318" w:rsidRPr="008D3831">
        <w:rPr>
          <w:rFonts w:eastAsia="Times New Roman"/>
          <w:lang w:val="id-ID"/>
        </w:rPr>
        <w:t xml:space="preserve"> </w:t>
      </w:r>
      <w:r w:rsidR="00452318" w:rsidRPr="008D3831">
        <w:rPr>
          <w:rFonts w:eastAsia="Times New Roman"/>
          <w:lang w:val="id-ID"/>
        </w:rPr>
        <w:fldChar w:fldCharType="begin" w:fldLock="1"/>
      </w:r>
      <w:r w:rsidR="00AD3A01" w:rsidRPr="008D3831">
        <w:rPr>
          <w:rFonts w:eastAsia="Times New Roman"/>
          <w:lang w:val="id-ID"/>
        </w:rPr>
        <w:instrText>ADDIN CSL_CITATION {"citationItems":[{"id":"ITEM-1","itemData":{"author":[{"dropping-particle":"","family":"Amrullah","given":"Andi","non-dropping-particle":"","parse-names":false,"suffix":""}],"id":"ITEM-1","issued":{"date-parts":[["2007"]]},"publisher":"Universitas Hasanuddin","title":"Penemuan Hukum Oleh Hakim Dalam Memutuskan Suatu Perkara Perdata di Pengadilan Negeri Watanompe","type":"thesis"},"uris":["http://www.mendeley.com/documents/?uuid=22f5c03a-e0d0-4a2b-baae-27e692e5dec5"]}],"mendeley":{"formattedCitation":"(Amrullah 2007)","plainTextFormattedCitation":"(Amrullah 2007)","previouslyFormattedCitation":"(Amrullah 2007)"},"properties":{"noteIndex":0},"schema":"https://github.com/citation-style-language/schema/raw/master/csl-citation.json"}</w:instrText>
      </w:r>
      <w:r w:rsidR="00452318" w:rsidRPr="008D3831">
        <w:rPr>
          <w:rFonts w:eastAsia="Times New Roman"/>
          <w:lang w:val="id-ID"/>
        </w:rPr>
        <w:fldChar w:fldCharType="separate"/>
      </w:r>
      <w:r w:rsidR="00DE7F03" w:rsidRPr="008D3831">
        <w:rPr>
          <w:rFonts w:eastAsia="Times New Roman"/>
          <w:noProof/>
          <w:lang w:val="id-ID"/>
        </w:rPr>
        <w:t>(Amrullah 2007)</w:t>
      </w:r>
      <w:r w:rsidR="00452318" w:rsidRPr="008D3831">
        <w:rPr>
          <w:rFonts w:eastAsia="Times New Roman"/>
          <w:lang w:val="id-ID"/>
        </w:rPr>
        <w:fldChar w:fldCharType="end"/>
      </w:r>
      <w:r w:rsidR="00452318" w:rsidRPr="008D3831">
        <w:rPr>
          <w:rFonts w:eastAsia="Times New Roman"/>
          <w:lang w:val="id-ID"/>
        </w:rPr>
        <w:t>.</w:t>
      </w:r>
    </w:p>
    <w:p w14:paraId="11E04C4F" w14:textId="77777777" w:rsidR="00AC2DBB" w:rsidRPr="008D3831" w:rsidRDefault="001F7AC1" w:rsidP="0048135E">
      <w:pPr>
        <w:spacing w:line="276" w:lineRule="auto"/>
        <w:ind w:right="27" w:firstLine="426"/>
        <w:contextualSpacing/>
        <w:jc w:val="both"/>
        <w:rPr>
          <w:rFonts w:eastAsia="Times New Roman"/>
          <w:lang w:val="id-ID"/>
        </w:rPr>
      </w:pPr>
      <w:r w:rsidRPr="008D3831">
        <w:rPr>
          <w:rFonts w:eastAsia="Times New Roman"/>
          <w:lang w:val="id-ID"/>
        </w:rPr>
        <w:t xml:space="preserve">Hakim dalam memutuskan suatu perkara harus bebas dan tidak berada di bawah pengaruh kekuasaan siapapun. Kebebasan hakim dalam menjalankan fungsi yudisialnya dilindungi oleh </w:t>
      </w:r>
      <w:r w:rsidR="005061F6" w:rsidRPr="008D3831">
        <w:rPr>
          <w:rFonts w:eastAsia="Times New Roman"/>
          <w:lang w:val="id-ID"/>
        </w:rPr>
        <w:t>Pasal</w:t>
      </w:r>
      <w:r w:rsidRPr="008D3831">
        <w:rPr>
          <w:rFonts w:eastAsia="Times New Roman"/>
          <w:lang w:val="id-ID"/>
        </w:rPr>
        <w:t xml:space="preserve"> 3 Undang-Undang Nomor 48 Tahun 2009 tentang Kekuasaan Kehakiman. Kebebasan hakim untuk tidak berada dibawah pengaruh pihak kekuasaan pihak lain dalam memutuskan suatu perkara sangat rawan terjadinya penyalahgunaan wewenang, oleh karena itu dibutuhkan pedoman bagi hakim agar tidak menyalahgunakan wewenangnya.  </w:t>
      </w:r>
    </w:p>
    <w:p w14:paraId="64DC286C" w14:textId="77777777" w:rsidR="00AC2DBB" w:rsidRPr="008D3831" w:rsidRDefault="001F7AC1" w:rsidP="0048135E">
      <w:pPr>
        <w:spacing w:line="276" w:lineRule="auto"/>
        <w:ind w:right="27" w:firstLine="426"/>
        <w:contextualSpacing/>
        <w:jc w:val="both"/>
        <w:rPr>
          <w:rFonts w:eastAsia="Times New Roman"/>
          <w:lang w:val="id-ID"/>
        </w:rPr>
      </w:pPr>
      <w:r w:rsidRPr="008D3831">
        <w:rPr>
          <w:rFonts w:eastAsia="Times New Roman"/>
          <w:lang w:val="id-ID"/>
        </w:rPr>
        <w:t>Kasus tindak pidana perkosaan menimbulkan kesulitan dalam penyelesaiannya, baik pada tahap penyidikan, penyelidikan, penuntutan, maupun tahap penjatuhan putusan.  Salah satu hal yang sering menimbulkan dalam penyelesaiannya adalah adanya modus baru dalam tindak pidana perkosaan. Adanya modus baru tersebut membuat hakim harus melakukan penafsiran atau interpretasi lebih dalam guna memutus perkara tindak pidana kasus perkosaan.</w:t>
      </w:r>
    </w:p>
    <w:p w14:paraId="6D079A23" w14:textId="04DAB43F" w:rsidR="00AC2DBB" w:rsidRPr="008D3831" w:rsidRDefault="001F7AC1" w:rsidP="0048135E">
      <w:pPr>
        <w:spacing w:line="276" w:lineRule="auto"/>
        <w:ind w:right="27" w:firstLine="426"/>
        <w:contextualSpacing/>
        <w:jc w:val="both"/>
        <w:rPr>
          <w:rFonts w:eastAsia="Times New Roman"/>
          <w:lang w:val="id-ID"/>
        </w:rPr>
      </w:pPr>
      <w:r w:rsidRPr="008D3831">
        <w:rPr>
          <w:rFonts w:eastAsia="Times New Roman"/>
          <w:lang w:val="id-ID"/>
        </w:rPr>
        <w:t>Seperti pada kronologi putusan Pengadilan Tinggi Bengkulu pada tan</w:t>
      </w:r>
      <w:r w:rsidR="005061F6" w:rsidRPr="008D3831">
        <w:rPr>
          <w:rFonts w:eastAsia="Times New Roman"/>
          <w:lang w:val="id-ID"/>
        </w:rPr>
        <w:t>ggal 26 Maret 2015 berdasarkan P</w:t>
      </w:r>
      <w:r w:rsidRPr="008D3831">
        <w:rPr>
          <w:rFonts w:eastAsia="Times New Roman"/>
          <w:lang w:val="id-ID"/>
        </w:rPr>
        <w:t>utusan Nomor 12/PID/2015/PT.BGL memutuskan kasus perkosaan dengan kronologi yaitu Berawal terdakwa M</w:t>
      </w:r>
      <w:r w:rsidR="00E46CFA" w:rsidRPr="008D3831">
        <w:rPr>
          <w:rFonts w:eastAsia="Times New Roman"/>
          <w:lang w:val="id-ID"/>
        </w:rPr>
        <w:t>y</w:t>
      </w:r>
      <w:r w:rsidRPr="008D3831">
        <w:rPr>
          <w:rFonts w:eastAsia="Times New Roman"/>
          <w:lang w:val="id-ID"/>
        </w:rPr>
        <w:t xml:space="preserve">xe Zul Janova Alias Janob Bin Medianto mengajak saksi korban </w:t>
      </w:r>
      <w:r w:rsidR="007A3F97" w:rsidRPr="008D3831">
        <w:rPr>
          <w:rFonts w:eastAsia="Times New Roman"/>
          <w:lang w:val="id-ID"/>
        </w:rPr>
        <w:t>Sunarti</w:t>
      </w:r>
      <w:r w:rsidRPr="008D3831">
        <w:rPr>
          <w:rFonts w:eastAsia="Times New Roman"/>
          <w:lang w:val="id-ID"/>
        </w:rPr>
        <w:t xml:space="preserve"> jalan-jalan. Dalam perjalanannya terdakwa bersama saksi pergi makan ke </w:t>
      </w:r>
      <w:r w:rsidR="005061F6" w:rsidRPr="008D3831">
        <w:rPr>
          <w:rFonts w:eastAsia="Times New Roman"/>
          <w:lang w:val="id-ID"/>
        </w:rPr>
        <w:t>Pondok Jagung</w:t>
      </w:r>
      <w:r w:rsidRPr="008D3831">
        <w:rPr>
          <w:rFonts w:eastAsia="Times New Roman"/>
          <w:lang w:val="id-ID"/>
        </w:rPr>
        <w:t>. Setelah makan saksi korban mengaku kepala dan bada</w:t>
      </w:r>
      <w:r w:rsidR="005061F6" w:rsidRPr="008D3831">
        <w:rPr>
          <w:rFonts w:eastAsia="Times New Roman"/>
          <w:lang w:val="id-ID"/>
        </w:rPr>
        <w:t xml:space="preserve">n terasa sakit. Kemudian saksi </w:t>
      </w:r>
      <w:r w:rsidR="007A3F97" w:rsidRPr="008D3831">
        <w:rPr>
          <w:rFonts w:eastAsia="Times New Roman"/>
          <w:lang w:val="id-ID"/>
        </w:rPr>
        <w:t>Sunarti</w:t>
      </w:r>
      <w:r w:rsidRPr="008D3831">
        <w:rPr>
          <w:rFonts w:eastAsia="Times New Roman"/>
          <w:lang w:val="id-ID"/>
        </w:rPr>
        <w:t xml:space="preserve"> minta diantarkan pulang tetapi terdakwa malah membawa ke kamar hotel dengan alasan sudah ma</w:t>
      </w:r>
      <w:r w:rsidR="005061F6" w:rsidRPr="008D3831">
        <w:rPr>
          <w:rFonts w:eastAsia="Times New Roman"/>
          <w:lang w:val="id-ID"/>
        </w:rPr>
        <w:t xml:space="preserve">lam. Terdakwa berkata terhadap </w:t>
      </w:r>
      <w:r w:rsidR="007A3F97" w:rsidRPr="008D3831">
        <w:rPr>
          <w:rFonts w:eastAsia="Times New Roman"/>
          <w:lang w:val="id-ID"/>
        </w:rPr>
        <w:t>Sunarti</w:t>
      </w:r>
      <w:r w:rsidRPr="008D3831">
        <w:rPr>
          <w:rFonts w:eastAsia="Times New Roman"/>
          <w:lang w:val="id-ID"/>
        </w:rPr>
        <w:t xml:space="preserve"> “</w:t>
      </w:r>
      <w:r w:rsidRPr="008D3831">
        <w:rPr>
          <w:rFonts w:eastAsia="Times New Roman"/>
          <w:i/>
          <w:lang w:val="id-ID"/>
        </w:rPr>
        <w:t>Kalo adek memang sayang sama kakak, jangankan keperawan adek, nyawo adek pasti adek kasih</w:t>
      </w:r>
      <w:r w:rsidR="007A3F97" w:rsidRPr="008D3831">
        <w:rPr>
          <w:rFonts w:eastAsia="Times New Roman"/>
          <w:lang w:val="id-ID"/>
        </w:rPr>
        <w:t>.” Lalu saksi Sunarti</w:t>
      </w:r>
      <w:r w:rsidRPr="008D3831">
        <w:rPr>
          <w:rFonts w:eastAsia="Times New Roman"/>
          <w:lang w:val="id-ID"/>
        </w:rPr>
        <w:t xml:space="preserve"> menjawab “</w:t>
      </w:r>
      <w:r w:rsidRPr="008D3831">
        <w:rPr>
          <w:rFonts w:eastAsia="Times New Roman"/>
          <w:i/>
          <w:lang w:val="id-ID"/>
        </w:rPr>
        <w:t>tapi kakak janji, kalau udah adek kasih, kakak jangan tinggalkan adek ya</w:t>
      </w:r>
      <w:r w:rsidRPr="008D3831">
        <w:rPr>
          <w:rFonts w:eastAsia="Times New Roman"/>
          <w:lang w:val="id-ID"/>
        </w:rPr>
        <w:t xml:space="preserve">.” lalu terdakwa menjawab </w:t>
      </w:r>
      <w:r w:rsidR="00D14E27" w:rsidRPr="008D3831">
        <w:rPr>
          <w:rFonts w:eastAsia="Times New Roman"/>
          <w:lang w:val="id-ID"/>
        </w:rPr>
        <w:t>“</w:t>
      </w:r>
      <w:r w:rsidRPr="008D3831">
        <w:rPr>
          <w:rFonts w:eastAsia="Times New Roman"/>
          <w:i/>
          <w:lang w:val="id-ID"/>
        </w:rPr>
        <w:t>iya</w:t>
      </w:r>
      <w:r w:rsidR="00D14E27" w:rsidRPr="008D3831">
        <w:rPr>
          <w:rFonts w:eastAsia="Times New Roman"/>
          <w:i/>
          <w:lang w:val="id-ID"/>
        </w:rPr>
        <w:t>”</w:t>
      </w:r>
      <w:r w:rsidRPr="008D3831">
        <w:rPr>
          <w:rFonts w:eastAsia="Times New Roman"/>
          <w:lang w:val="id-ID"/>
        </w:rPr>
        <w:t>. Berdasar pembicaraan tersebut terdakwa dan saksi melakukan hubungan layaknya suami dan istri y</w:t>
      </w:r>
      <w:r w:rsidR="007A3F97" w:rsidRPr="008D3831">
        <w:rPr>
          <w:rFonts w:eastAsia="Times New Roman"/>
          <w:lang w:val="id-ID"/>
        </w:rPr>
        <w:t>ang menyebabkan kemaluan saksi Sunarti</w:t>
      </w:r>
      <w:r w:rsidRPr="008D3831">
        <w:rPr>
          <w:rFonts w:eastAsia="Times New Roman"/>
          <w:lang w:val="id-ID"/>
        </w:rPr>
        <w:t xml:space="preserve"> mengeluarkan darah dan terasa sangat sakit. Sehingga terdakwa memutuskan mengantarkan saksi ke rumah sakit DKT dan kemudian terdakwa meninggalkan rumah sakit tersebut. Hasil Visum menyatakan bahwa kemaluan saksi tampak luka robek pada vagina bawah.</w:t>
      </w:r>
    </w:p>
    <w:p w14:paraId="57B127ED" w14:textId="77777777" w:rsidR="001602EB" w:rsidRPr="008D3831" w:rsidRDefault="001602EB" w:rsidP="0048135E">
      <w:pPr>
        <w:spacing w:line="276" w:lineRule="auto"/>
        <w:ind w:right="27" w:firstLine="426"/>
        <w:contextualSpacing/>
        <w:jc w:val="both"/>
        <w:rPr>
          <w:rFonts w:eastAsia="Times New Roman"/>
          <w:lang w:val="id-ID"/>
        </w:rPr>
      </w:pPr>
      <w:r w:rsidRPr="008D3831">
        <w:rPr>
          <w:rFonts w:eastAsia="Times New Roman"/>
          <w:lang w:val="id-ID"/>
        </w:rPr>
        <w:t xml:space="preserve">Berdasarkan kronologi percakapan diatas dapat kita ketahui bahwa terdakwa melakukan “bujuk rayu” terhadap saksi korban </w:t>
      </w:r>
      <w:r w:rsidR="007A3F97" w:rsidRPr="008D3831">
        <w:rPr>
          <w:rFonts w:eastAsia="Times New Roman"/>
          <w:lang w:val="id-ID"/>
        </w:rPr>
        <w:t>Sunarti</w:t>
      </w:r>
      <w:r w:rsidRPr="008D3831">
        <w:rPr>
          <w:rFonts w:eastAsia="Times New Roman"/>
          <w:lang w:val="id-ID"/>
        </w:rPr>
        <w:t xml:space="preserve"> agar mau melakukan </w:t>
      </w:r>
      <w:r w:rsidRPr="008D3831">
        <w:rPr>
          <w:rFonts w:eastAsia="Times New Roman"/>
          <w:lang w:val="id-ID"/>
        </w:rPr>
        <w:lastRenderedPageBreak/>
        <w:t>hubunga</w:t>
      </w:r>
      <w:r w:rsidR="007A3F97" w:rsidRPr="008D3831">
        <w:rPr>
          <w:rFonts w:eastAsia="Times New Roman"/>
          <w:lang w:val="id-ID"/>
        </w:rPr>
        <w:t xml:space="preserve">n suami istri dengan terdakwa. </w:t>
      </w:r>
      <w:r w:rsidRPr="008D3831">
        <w:rPr>
          <w:rFonts w:eastAsia="Times New Roman"/>
          <w:lang w:val="id-ID"/>
        </w:rPr>
        <w:t xml:space="preserve">Menimbang bahwa “bujuk rayu” merupakan makna perluasan unsur dengan kekerasan atau ancaman kekerasan memaksa seorang wanita bersetubuh dengan dia di luar pernikahan. Dalam kasus ini telah terdapat putusan pengadilan dari putusan Pengadilan Negeri, </w:t>
      </w:r>
      <w:r w:rsidR="007A3F97" w:rsidRPr="008D3831">
        <w:rPr>
          <w:rFonts w:eastAsia="Times New Roman"/>
          <w:lang w:val="id-ID"/>
        </w:rPr>
        <w:t>b</w:t>
      </w:r>
      <w:r w:rsidRPr="008D3831">
        <w:rPr>
          <w:rFonts w:eastAsia="Times New Roman"/>
          <w:lang w:val="id-ID"/>
        </w:rPr>
        <w:t xml:space="preserve">anding, hingga kasasi. </w:t>
      </w:r>
    </w:p>
    <w:p w14:paraId="425588A3" w14:textId="77777777" w:rsidR="001602EB" w:rsidRPr="008D3831" w:rsidRDefault="001602EB" w:rsidP="0048135E">
      <w:pPr>
        <w:spacing w:line="276" w:lineRule="auto"/>
        <w:ind w:right="27" w:firstLine="426"/>
        <w:contextualSpacing/>
        <w:jc w:val="both"/>
        <w:rPr>
          <w:rFonts w:eastAsia="Times New Roman"/>
          <w:lang w:val="id-ID"/>
        </w:rPr>
      </w:pPr>
      <w:r w:rsidRPr="008D3831">
        <w:rPr>
          <w:rFonts w:eastAsia="Times New Roman"/>
          <w:lang w:val="id-ID"/>
        </w:rPr>
        <w:t xml:space="preserve">Amar Putusan Majelis Hakim dalam Putusan Pengadilan Negeri Bengkulu menyatakan terdakwa </w:t>
      </w:r>
      <w:r w:rsidR="00D14E27" w:rsidRPr="008D3831">
        <w:rPr>
          <w:rFonts w:eastAsia="Times New Roman"/>
          <w:lang w:val="id-ID"/>
        </w:rPr>
        <w:t>Myxe Zul Janova Als. Janov Bin Medianto</w:t>
      </w:r>
      <w:r w:rsidRPr="008D3831">
        <w:rPr>
          <w:rFonts w:eastAsia="Times New Roman"/>
          <w:lang w:val="id-ID"/>
        </w:rPr>
        <w:t xml:space="preserve"> telah terbukti secara sah dan meyakinkan berdasarkan hukum bersalah melakukan tindak pidana: PERKOSAAN sebagaimana dakwaan Penuntut Umum. Dalam putusan ini majelis hakim menghubungkan unsur bujuk rayu dalam </w:t>
      </w:r>
      <w:r w:rsidR="005061F6" w:rsidRPr="008D3831">
        <w:rPr>
          <w:rFonts w:eastAsia="Times New Roman"/>
          <w:lang w:val="id-ID"/>
        </w:rPr>
        <w:t>Pasal</w:t>
      </w:r>
      <w:r w:rsidRPr="008D3831">
        <w:rPr>
          <w:rFonts w:eastAsia="Times New Roman"/>
          <w:lang w:val="id-ID"/>
        </w:rPr>
        <w:t xml:space="preserve"> 81 ayat 2 Undang-Undang Nomor 23 Tahun 2002 Tentang Perlindungan Anak dengan </w:t>
      </w:r>
      <w:r w:rsidR="005061F6" w:rsidRPr="008D3831">
        <w:rPr>
          <w:rFonts w:eastAsia="Times New Roman"/>
          <w:lang w:val="id-ID"/>
        </w:rPr>
        <w:t>Pasal</w:t>
      </w:r>
      <w:r w:rsidRPr="008D3831">
        <w:rPr>
          <w:rFonts w:eastAsia="Times New Roman"/>
          <w:lang w:val="id-ID"/>
        </w:rPr>
        <w:t xml:space="preserve"> 285 KUHP tentang Perkosaan untuk menjerat terdakwa.</w:t>
      </w:r>
    </w:p>
    <w:p w14:paraId="6667B160" w14:textId="77777777" w:rsidR="001602EB" w:rsidRPr="008D3831" w:rsidRDefault="001602EB" w:rsidP="0048135E">
      <w:pPr>
        <w:spacing w:line="276" w:lineRule="auto"/>
        <w:ind w:right="27" w:firstLine="426"/>
        <w:contextualSpacing/>
        <w:jc w:val="both"/>
        <w:rPr>
          <w:rFonts w:eastAsia="Times New Roman"/>
          <w:lang w:val="id-ID"/>
        </w:rPr>
      </w:pPr>
      <w:r w:rsidRPr="008D3831">
        <w:rPr>
          <w:rFonts w:eastAsia="Times New Roman"/>
          <w:lang w:val="id-ID"/>
        </w:rPr>
        <w:t xml:space="preserve"> Amar Putusan Majelis Hakim dalam Putusan Pengadilan Tinggi Bengkulu menyatakan memperbaiki Putusan Majelis Hakim Tingkat Pertama Nomor 410/Pid.B/2014/PN. Bgl tanggal 19 Februari 2015 yang dimintakan banding tersebut sepanjang mengenai pertimbangan Unsur-unsur dan lamanya pidana yang dijatuhkan dan amar putusan: sehingga amar selengkapnya adalah sebagai berikut; Menyatakan terdakwa </w:t>
      </w:r>
      <w:r w:rsidR="00D14E27" w:rsidRPr="008D3831">
        <w:rPr>
          <w:rFonts w:eastAsia="Times New Roman"/>
          <w:lang w:val="id-ID"/>
        </w:rPr>
        <w:t>Myxe Zul Janova Als. Janov Bin Medianto</w:t>
      </w:r>
      <w:r w:rsidRPr="008D3831">
        <w:rPr>
          <w:rFonts w:eastAsia="Times New Roman"/>
          <w:lang w:val="id-ID"/>
        </w:rPr>
        <w:t xml:space="preserve"> terbukti secara sah dan meyakinkan bersalah melakukan tindak pidana: PERKOSAAN sebagaimana dakwaan Penuntut Umum. Dalam pertimbangannya Majelis Hakim Menganggap bujuk rayu sebagai unsur Pemaksaan dalam </w:t>
      </w:r>
      <w:r w:rsidR="005061F6" w:rsidRPr="008D3831">
        <w:rPr>
          <w:rFonts w:eastAsia="Times New Roman"/>
          <w:lang w:val="id-ID"/>
        </w:rPr>
        <w:t>Pasal</w:t>
      </w:r>
      <w:r w:rsidRPr="008D3831">
        <w:rPr>
          <w:rFonts w:eastAsia="Times New Roman"/>
          <w:lang w:val="id-ID"/>
        </w:rPr>
        <w:t xml:space="preserve"> 285 KUHP.</w:t>
      </w:r>
    </w:p>
    <w:p w14:paraId="330C99C0" w14:textId="77777777" w:rsidR="00452318" w:rsidRPr="008D3831" w:rsidRDefault="001602EB" w:rsidP="0048135E">
      <w:pPr>
        <w:spacing w:line="276" w:lineRule="auto"/>
        <w:ind w:right="27" w:firstLine="426"/>
        <w:contextualSpacing/>
        <w:jc w:val="both"/>
        <w:rPr>
          <w:rFonts w:eastAsia="Times New Roman"/>
          <w:lang w:val="id-ID"/>
        </w:rPr>
      </w:pPr>
      <w:r w:rsidRPr="008D3831">
        <w:rPr>
          <w:rFonts w:eastAsia="Times New Roman"/>
          <w:lang w:val="id-ID"/>
        </w:rPr>
        <w:t xml:space="preserve"> Amar Putusan Majelis Hakim dalam Putusan Mahkamah Agung Nomor 786 K/Pid/2015 menyatakan Menolak permohonan kasasi dari Pemohon Kasasi : Jaksa/Penuntut Umum pada Kejaksaan Negeri Bengkulu tersebut. Dalam Pertimbangannya Majelis Hakim menjelaskan Bahwa alasan Kasasi tidak dapat dibenarkan karena ternyata putusan </w:t>
      </w:r>
      <w:r w:rsidRPr="008D3831">
        <w:rPr>
          <w:rFonts w:eastAsia="Times New Roman"/>
          <w:i/>
          <w:lang w:val="id-ID"/>
        </w:rPr>
        <w:t>Judex Facti</w:t>
      </w:r>
      <w:r w:rsidRPr="008D3831">
        <w:rPr>
          <w:rFonts w:eastAsia="Times New Roman"/>
          <w:lang w:val="id-ID"/>
        </w:rPr>
        <w:t xml:space="preserve">/Pengadilan Tinggi yang memperbaiki sekedar lamanya pidana yang dijatuhkan yaitu dalam putusan </w:t>
      </w:r>
      <w:r w:rsidRPr="008D3831">
        <w:rPr>
          <w:rFonts w:eastAsia="Times New Roman"/>
          <w:i/>
          <w:lang w:val="id-ID"/>
        </w:rPr>
        <w:t>Judex Facti</w:t>
      </w:r>
      <w:r w:rsidRPr="008D3831">
        <w:rPr>
          <w:rFonts w:eastAsia="Times New Roman"/>
          <w:lang w:val="id-ID"/>
        </w:rPr>
        <w:t xml:space="preserve">/Pengadilan Negeri Terdakwa dijatuhi pidana penjara selama : 5 (lima) tahun dan dalam putusan </w:t>
      </w:r>
      <w:r w:rsidRPr="008D3831">
        <w:rPr>
          <w:rFonts w:eastAsia="Times New Roman"/>
          <w:i/>
          <w:lang w:val="id-ID"/>
        </w:rPr>
        <w:t>Judex Facti</w:t>
      </w:r>
      <w:r w:rsidRPr="008D3831">
        <w:rPr>
          <w:rFonts w:eastAsia="Times New Roman"/>
          <w:lang w:val="id-ID"/>
        </w:rPr>
        <w:t xml:space="preserve">/Pengadilan Tinggi Terdakwa dijatuhi pidana penjara selama : 4 (empat) tahun dan  6  (enam) bulan adalah putusan yang tidak salah menerapkan hukum  karena mempertimbangkan secara tepat dan benar bahwa tidak terbukti bersalah melakukan tindak pidana "Perkosaan" melanggar </w:t>
      </w:r>
      <w:r w:rsidR="005061F6" w:rsidRPr="008D3831">
        <w:rPr>
          <w:rFonts w:eastAsia="Times New Roman"/>
          <w:lang w:val="id-ID"/>
        </w:rPr>
        <w:t>Pasal</w:t>
      </w:r>
      <w:r w:rsidRPr="008D3831">
        <w:rPr>
          <w:rFonts w:eastAsia="Times New Roman"/>
          <w:lang w:val="id-ID"/>
        </w:rPr>
        <w:t xml:space="preserve"> 285 KUHP sesuai dakwaan Jaksa/Penuntut Umum.</w:t>
      </w:r>
    </w:p>
    <w:p w14:paraId="0573277B" w14:textId="77777777" w:rsidR="00452318" w:rsidRPr="008D3831" w:rsidRDefault="00AC6BF1" w:rsidP="0048135E">
      <w:pPr>
        <w:spacing w:line="276" w:lineRule="auto"/>
        <w:ind w:right="27" w:firstLine="426"/>
        <w:contextualSpacing/>
        <w:jc w:val="both"/>
        <w:rPr>
          <w:rFonts w:eastAsia="Times New Roman"/>
          <w:lang w:val="id-ID"/>
        </w:rPr>
      </w:pPr>
      <w:r w:rsidRPr="008D3831">
        <w:rPr>
          <w:rFonts w:eastAsia="Times New Roman"/>
        </w:rPr>
        <w:t>P</w:t>
      </w:r>
      <w:r w:rsidR="00452318" w:rsidRPr="008D3831">
        <w:rPr>
          <w:rFonts w:eastAsia="Times New Roman"/>
          <w:lang w:val="id-ID"/>
        </w:rPr>
        <w:t xml:space="preserve">enelitian ini juga akan membahas </w:t>
      </w:r>
      <w:r w:rsidR="001602EB" w:rsidRPr="008D3831">
        <w:rPr>
          <w:rFonts w:eastAsia="Times New Roman"/>
          <w:lang w:val="id-ID"/>
        </w:rPr>
        <w:t xml:space="preserve">penggunaan </w:t>
      </w:r>
      <w:r w:rsidR="00452318" w:rsidRPr="008D3831">
        <w:rPr>
          <w:rFonts w:eastAsia="Times New Roman"/>
          <w:lang w:val="id-ID"/>
        </w:rPr>
        <w:t xml:space="preserve">bujuk rayu yang ada dalam </w:t>
      </w:r>
      <w:r w:rsidR="005061F6" w:rsidRPr="008D3831">
        <w:rPr>
          <w:rFonts w:eastAsia="Times New Roman"/>
          <w:lang w:val="id-ID"/>
        </w:rPr>
        <w:t>Pasal</w:t>
      </w:r>
      <w:r w:rsidR="00452318" w:rsidRPr="008D3831">
        <w:rPr>
          <w:rFonts w:eastAsia="Times New Roman"/>
          <w:lang w:val="id-ID"/>
        </w:rPr>
        <w:t xml:space="preserve"> 81 ayat (2) Undang-Undang  Nomor  23 Tahun 2002 tentang Perlindungan Anak </w:t>
      </w:r>
      <w:r w:rsidR="001602EB" w:rsidRPr="008D3831">
        <w:rPr>
          <w:rFonts w:eastAsia="Times New Roman"/>
          <w:lang w:val="id-ID"/>
        </w:rPr>
        <w:t>pada orang dewasa</w:t>
      </w:r>
      <w:r w:rsidR="00452318" w:rsidRPr="008D3831">
        <w:rPr>
          <w:rFonts w:eastAsia="Times New Roman"/>
          <w:lang w:val="id-ID"/>
        </w:rPr>
        <w:t xml:space="preserve">. Permasalahan ini dapat diselesaikan dengan membahas istilah bujuk rayu </w:t>
      </w:r>
      <w:r w:rsidR="00452318" w:rsidRPr="008D3831">
        <w:rPr>
          <w:rFonts w:eastAsia="Times New Roman"/>
          <w:lang w:val="id-ID"/>
        </w:rPr>
        <w:lastRenderedPageBreak/>
        <w:t xml:space="preserve">dikaitkan asas legalitas, </w:t>
      </w:r>
      <w:r w:rsidR="005061F6" w:rsidRPr="008D3831">
        <w:rPr>
          <w:rFonts w:eastAsia="Times New Roman"/>
          <w:lang w:val="id-ID"/>
        </w:rPr>
        <w:t>Pasal</w:t>
      </w:r>
      <w:r w:rsidR="00452318" w:rsidRPr="008D3831">
        <w:rPr>
          <w:rFonts w:eastAsia="Times New Roman"/>
          <w:lang w:val="id-ID"/>
        </w:rPr>
        <w:t xml:space="preserve"> 81 UU Perlindungan anak dikaitkan </w:t>
      </w:r>
      <w:r w:rsidR="00452318" w:rsidRPr="008D3831">
        <w:rPr>
          <w:rFonts w:eastAsia="Times New Roman"/>
          <w:i/>
          <w:lang w:val="id-ID"/>
        </w:rPr>
        <w:t>Argumentum A Contra</w:t>
      </w:r>
      <w:r w:rsidR="001602EB" w:rsidRPr="008D3831">
        <w:rPr>
          <w:rFonts w:eastAsia="Times New Roman"/>
          <w:i/>
          <w:lang w:val="id-ID"/>
        </w:rPr>
        <w:t>rio</w:t>
      </w:r>
      <w:r w:rsidR="001602EB" w:rsidRPr="008D3831">
        <w:rPr>
          <w:rFonts w:eastAsia="Times New Roman"/>
          <w:lang w:val="id-ID"/>
        </w:rPr>
        <w:t xml:space="preserve">, dan tujuan dari dibuatnya UU perlindungan Anak. </w:t>
      </w:r>
      <w:r w:rsidR="00452318" w:rsidRPr="008D3831">
        <w:rPr>
          <w:rFonts w:eastAsia="Times New Roman"/>
          <w:lang w:val="id-ID"/>
        </w:rPr>
        <w:t xml:space="preserve">Kemudian akan dibahas juga </w:t>
      </w:r>
      <w:r w:rsidR="001602EB" w:rsidRPr="008D3831">
        <w:rPr>
          <w:rFonts w:eastAsia="Times New Roman"/>
          <w:lang w:val="id-ID"/>
        </w:rPr>
        <w:t xml:space="preserve">ketepatan perluasan makna frase “bujuk rayu” pada putusan hakim Pengadilan Tinggi Bengkulu Nomor 12/PID/2015/PT.BGL sebagai unsur memaksa dalam </w:t>
      </w:r>
      <w:r w:rsidR="005061F6" w:rsidRPr="008D3831">
        <w:rPr>
          <w:rFonts w:eastAsia="Times New Roman"/>
          <w:lang w:val="id-ID"/>
        </w:rPr>
        <w:t>Pasal</w:t>
      </w:r>
      <w:r w:rsidR="001602EB" w:rsidRPr="008D3831">
        <w:rPr>
          <w:rFonts w:eastAsia="Times New Roman"/>
          <w:lang w:val="id-ID"/>
        </w:rPr>
        <w:t xml:space="preserve"> 285 KUHP.</w:t>
      </w:r>
    </w:p>
    <w:p w14:paraId="2DBE4D29" w14:textId="77777777" w:rsidR="0048135E" w:rsidRPr="008D3831" w:rsidRDefault="00452318" w:rsidP="0048135E">
      <w:pPr>
        <w:spacing w:line="276" w:lineRule="auto"/>
        <w:ind w:right="27" w:firstLine="426"/>
        <w:contextualSpacing/>
        <w:jc w:val="both"/>
        <w:rPr>
          <w:lang w:val="id-ID"/>
        </w:rPr>
      </w:pPr>
      <w:r w:rsidRPr="008D3831">
        <w:rPr>
          <w:rFonts w:eastAsia="Times New Roman"/>
          <w:lang w:val="id-ID"/>
        </w:rPr>
        <w:t xml:space="preserve">Penelitian ini </w:t>
      </w:r>
      <w:r w:rsidR="00D14E27" w:rsidRPr="008D3831">
        <w:rPr>
          <w:lang w:val="id-ID"/>
        </w:rPr>
        <w:t xml:space="preserve">bertujuan untuk menganalisis penggunaan bujuk rayu dalam </w:t>
      </w:r>
      <w:r w:rsidR="005061F6" w:rsidRPr="008D3831">
        <w:rPr>
          <w:lang w:val="id-ID"/>
        </w:rPr>
        <w:t>Pasal</w:t>
      </w:r>
      <w:r w:rsidR="00D14E27" w:rsidRPr="008D3831">
        <w:rPr>
          <w:lang w:val="id-ID"/>
        </w:rPr>
        <w:t xml:space="preserve"> 81 ayat (2) Undang-Undang Nomor 23 Tahun 2002 tentang Perlindungan Anak pada orang dewasa dan mengetahui ketepatan perluasan makna frase “bujuk rayu” pada putusan hakim Pengadilan Tinggi Bengkulu Nomor 12/PID/2015/PT.BGL sebagai unsur memaksa dalam </w:t>
      </w:r>
      <w:r w:rsidR="005061F6" w:rsidRPr="008D3831">
        <w:rPr>
          <w:lang w:val="id-ID"/>
        </w:rPr>
        <w:t>Pasal</w:t>
      </w:r>
      <w:r w:rsidR="00D14E27" w:rsidRPr="008D3831">
        <w:rPr>
          <w:lang w:val="id-ID"/>
        </w:rPr>
        <w:t xml:space="preserve"> 285 KUHP. </w:t>
      </w:r>
    </w:p>
    <w:p w14:paraId="78A2EF90" w14:textId="77777777" w:rsidR="00AC2DBB" w:rsidRPr="008D3831" w:rsidRDefault="001F7AC1" w:rsidP="0048135E">
      <w:pPr>
        <w:spacing w:before="240" w:after="40"/>
        <w:ind w:right="28"/>
        <w:jc w:val="left"/>
        <w:rPr>
          <w:rFonts w:eastAsia="Times New Roman"/>
          <w:b/>
          <w:lang w:val="id-ID"/>
        </w:rPr>
      </w:pPr>
      <w:r w:rsidRPr="008D3831">
        <w:rPr>
          <w:rFonts w:eastAsia="Times New Roman"/>
          <w:b/>
          <w:lang w:val="id-ID"/>
        </w:rPr>
        <w:t>METODE</w:t>
      </w:r>
    </w:p>
    <w:p w14:paraId="1DCD6711" w14:textId="77777777" w:rsidR="000A2D89" w:rsidRPr="008D3831" w:rsidRDefault="001F7AC1" w:rsidP="0048135E">
      <w:pPr>
        <w:spacing w:line="276" w:lineRule="auto"/>
        <w:ind w:right="27" w:firstLine="426"/>
        <w:contextualSpacing/>
        <w:jc w:val="both"/>
        <w:rPr>
          <w:rFonts w:eastAsia="Times New Roman"/>
          <w:lang w:val="id-ID"/>
        </w:rPr>
      </w:pPr>
      <w:r w:rsidRPr="008D3831">
        <w:rPr>
          <w:rFonts w:eastAsia="Times New Roman"/>
          <w:lang w:val="id-ID"/>
        </w:rPr>
        <w:t xml:space="preserve">Metode penelitian yang digunakan adalah penelitian hukum normatif karena penelitian ini didasarkan pada </w:t>
      </w:r>
      <w:r w:rsidR="003F71BF" w:rsidRPr="008D3831">
        <w:rPr>
          <w:rFonts w:eastAsia="Times New Roman"/>
          <w:lang w:val="id-ID"/>
        </w:rPr>
        <w:t>putusan pengadilan yang mana</w:t>
      </w:r>
      <w:r w:rsidRPr="008D3831">
        <w:rPr>
          <w:rFonts w:eastAsia="Times New Roman"/>
          <w:lang w:val="id-ID"/>
        </w:rPr>
        <w:t xml:space="preserve"> hakim</w:t>
      </w:r>
      <w:r w:rsidR="003F71BF" w:rsidRPr="008D3831">
        <w:rPr>
          <w:rFonts w:eastAsia="Times New Roman"/>
          <w:lang w:val="id-ID"/>
        </w:rPr>
        <w:t xml:space="preserve"> dianggap</w:t>
      </w:r>
      <w:r w:rsidRPr="008D3831">
        <w:rPr>
          <w:rFonts w:eastAsia="Times New Roman"/>
          <w:lang w:val="id-ID"/>
        </w:rPr>
        <w:t xml:space="preserve"> kurang tepat dalam menafsirkan perluasan makna dari unsur-unsur </w:t>
      </w:r>
      <w:r w:rsidR="005061F6" w:rsidRPr="008D3831">
        <w:rPr>
          <w:rFonts w:eastAsia="Times New Roman"/>
          <w:lang w:val="id-ID"/>
        </w:rPr>
        <w:t>Pasal</w:t>
      </w:r>
      <w:r w:rsidRPr="008D3831">
        <w:rPr>
          <w:rFonts w:eastAsia="Times New Roman"/>
          <w:lang w:val="id-ID"/>
        </w:rPr>
        <w:t xml:space="preserve"> 285 Kitab Undang-Undang Pidana dan mengadakan frase “bujuk rayu” sebagai perluasan makna dari unsur-unsur </w:t>
      </w:r>
      <w:r w:rsidR="005061F6" w:rsidRPr="008D3831">
        <w:rPr>
          <w:rFonts w:eastAsia="Times New Roman"/>
          <w:lang w:val="id-ID"/>
        </w:rPr>
        <w:t>Pasal</w:t>
      </w:r>
      <w:r w:rsidRPr="008D3831">
        <w:rPr>
          <w:rFonts w:eastAsia="Times New Roman"/>
          <w:lang w:val="id-ID"/>
        </w:rPr>
        <w:t xml:space="preserve"> 285 Kitab Undang-Undang Pidana. </w:t>
      </w:r>
    </w:p>
    <w:p w14:paraId="6BF7C579" w14:textId="4DB4EBDD" w:rsidR="000A2D89" w:rsidRPr="008D3831" w:rsidRDefault="001F7AC1" w:rsidP="0048135E">
      <w:pPr>
        <w:spacing w:line="276" w:lineRule="auto"/>
        <w:ind w:right="27" w:firstLine="426"/>
        <w:contextualSpacing/>
        <w:jc w:val="both"/>
        <w:rPr>
          <w:rFonts w:eastAsia="Times New Roman"/>
          <w:lang w:val="id-ID"/>
        </w:rPr>
      </w:pPr>
      <w:r w:rsidRPr="008D3831">
        <w:rPr>
          <w:rFonts w:eastAsia="Times New Roman"/>
          <w:lang w:val="id-ID"/>
        </w:rPr>
        <w:t>Pendekatan penelitian yang digunakan adalah pendekatan perundang-undangan, dan pendeketan konseptual</w:t>
      </w:r>
      <w:r w:rsidR="003F71BF" w:rsidRPr="008D3831">
        <w:rPr>
          <w:rFonts w:eastAsia="Times New Roman"/>
          <w:lang w:val="id-ID"/>
        </w:rPr>
        <w:t>. Pendekatan perundang-undangan</w:t>
      </w:r>
      <w:r w:rsidRPr="008D3831">
        <w:rPr>
          <w:rFonts w:eastAsia="Times New Roman"/>
          <w:lang w:val="id-ID"/>
        </w:rPr>
        <w:t xml:space="preserve"> dilakukan dengan menelusuri peraturan atau regulasi yang berkaitan dengan isu hukum yang dibahas pada penelitian yang bersangkutan </w:t>
      </w:r>
      <w:r w:rsidR="00452318" w:rsidRPr="008D3831">
        <w:rPr>
          <w:rFonts w:eastAsia="Times New Roman"/>
          <w:lang w:val="id-ID"/>
        </w:rPr>
        <w:fldChar w:fldCharType="begin" w:fldLock="1"/>
      </w:r>
      <w:r w:rsidR="00841AB4" w:rsidRPr="008D3831">
        <w:rPr>
          <w:rFonts w:eastAsia="Times New Roman"/>
          <w:lang w:val="id-ID"/>
        </w:rPr>
        <w:instrText>ADDIN CSL_CITATION {"citationItems":[{"id":"ITEM-1","itemData":{"author":[{"dropping-particle":"","family":"Marzuki","given":"Peter Mahmud","non-dropping-particle":"","parse-names":false,"suffix":""}],"id":"ITEM-1","issued":{"date-parts":[["2014"]]},"publisher":"Kencana Prenada Media Group","publisher-place":"Jakarta","title":"Penelitian Hukum","type":"book"},"uris":["http://www.mendeley.com/documents/?uuid=c19b99d2-5f19-473c-a4ff-59237d0feff2"]}],"mendeley":{"formattedCitation":"(Marzuki 2014)","plainTextFormattedCitation":"(Marzuki 2014)","previouslyFormattedCitation":"(Marzuki 2014)"},"properties":{"noteIndex":0},"schema":"https://github.com/citation-style-language/schema/raw/master/csl-citation.json"}</w:instrText>
      </w:r>
      <w:r w:rsidR="00452318" w:rsidRPr="008D3831">
        <w:rPr>
          <w:rFonts w:eastAsia="Times New Roman"/>
          <w:lang w:val="id-ID"/>
        </w:rPr>
        <w:fldChar w:fldCharType="separate"/>
      </w:r>
      <w:r w:rsidR="00841AB4" w:rsidRPr="008D3831">
        <w:rPr>
          <w:rFonts w:eastAsia="Times New Roman"/>
          <w:noProof/>
          <w:lang w:val="id-ID"/>
        </w:rPr>
        <w:t>(Marzuki 2014)</w:t>
      </w:r>
      <w:r w:rsidR="00452318" w:rsidRPr="008D3831">
        <w:rPr>
          <w:rFonts w:eastAsia="Times New Roman"/>
          <w:lang w:val="id-ID"/>
        </w:rPr>
        <w:fldChar w:fldCharType="end"/>
      </w:r>
      <w:r w:rsidRPr="008D3831">
        <w:rPr>
          <w:rFonts w:eastAsia="Times New Roman"/>
          <w:lang w:val="id-ID"/>
        </w:rPr>
        <w:t>.</w:t>
      </w:r>
      <w:r w:rsidR="00581B67" w:rsidRPr="008D3831">
        <w:rPr>
          <w:rFonts w:eastAsia="Times New Roman"/>
        </w:rPr>
        <w:t xml:space="preserve"> </w:t>
      </w:r>
      <w:r w:rsidR="00581B67" w:rsidRPr="008D3831">
        <w:rPr>
          <w:rFonts w:eastAsia="Times New Roman"/>
          <w:lang w:val="id-ID"/>
        </w:rPr>
        <w:t>Dalam penelitian ini pendekatan perundang-undangan digunakan untuk menelaah semua peraturan perundang-undangan yang berhubungan dengan bujuk rayu dan unsur-unsur perkosaan guna mempermudah analisis.</w:t>
      </w:r>
      <w:r w:rsidRPr="008D3831">
        <w:rPr>
          <w:rFonts w:eastAsia="Times New Roman"/>
          <w:lang w:val="id-ID"/>
        </w:rPr>
        <w:t xml:space="preserve"> Pendekatan konseptual dilakukan dengan cara mempelajari pandangan-pandangan dan doktrin-doktrin di dal</w:t>
      </w:r>
      <w:r w:rsidR="003F71BF" w:rsidRPr="008D3831">
        <w:rPr>
          <w:rFonts w:eastAsia="Times New Roman"/>
          <w:lang w:val="id-ID"/>
        </w:rPr>
        <w:t>am ilmu hukum, sehingga</w:t>
      </w:r>
      <w:r w:rsidRPr="008D3831">
        <w:rPr>
          <w:rFonts w:eastAsia="Times New Roman"/>
          <w:lang w:val="id-ID"/>
        </w:rPr>
        <w:t xml:space="preserve"> menemukan ide-ide yang melahirkan pengertian-pengertian hukum, konsep-konsep hukum, dan asas-asas hukum yang relevan dengan isu yang dihadapi </w:t>
      </w:r>
      <w:r w:rsidR="000A2D89" w:rsidRPr="008D3831">
        <w:rPr>
          <w:rFonts w:eastAsia="Times New Roman"/>
          <w:lang w:val="id-ID"/>
        </w:rPr>
        <w:fldChar w:fldCharType="begin" w:fldLock="1"/>
      </w:r>
      <w:r w:rsidR="00841AB4" w:rsidRPr="008D3831">
        <w:rPr>
          <w:rFonts w:eastAsia="Times New Roman"/>
          <w:lang w:val="id-ID"/>
        </w:rPr>
        <w:instrText>ADDIN CSL_CITATION {"citationItems":[{"id":"ITEM-1","itemData":{"author":[{"dropping-particle":"","family":"Fajar","given":"Mukti dan Yulianto Achmad","non-dropping-particle":"","parse-names":false,"suffix":""}],"id":"ITEM-1","issued":{"date-parts":[["2010"]]},"publisher":"Pustaka Pelajar","publisher-place":"Yogyakarta","title":"Dualisme Penelitian Hukum Normatif dan Empiris","type":"book"},"uris":["http://www.mendeley.com/documents/?uuid=1600158f-2960-429b-891d-6d986ef02cf5"]}],"mendeley":{"formattedCitation":"(Fajar 2010)","plainTextFormattedCitation":"(Fajar 2010)","previouslyFormattedCitation":"(Fajar 2010)"},"properties":{"noteIndex":0},"schema":"https://github.com/citation-style-language/schema/raw/master/csl-citation.json"}</w:instrText>
      </w:r>
      <w:r w:rsidR="000A2D89" w:rsidRPr="008D3831">
        <w:rPr>
          <w:rFonts w:eastAsia="Times New Roman"/>
          <w:lang w:val="id-ID"/>
        </w:rPr>
        <w:fldChar w:fldCharType="separate"/>
      </w:r>
      <w:r w:rsidR="00841AB4" w:rsidRPr="008D3831">
        <w:rPr>
          <w:rFonts w:eastAsia="Times New Roman"/>
          <w:noProof/>
          <w:lang w:val="id-ID"/>
        </w:rPr>
        <w:t>(Fajar 2010)</w:t>
      </w:r>
      <w:r w:rsidR="000A2D89" w:rsidRPr="008D3831">
        <w:rPr>
          <w:rFonts w:eastAsia="Times New Roman"/>
          <w:lang w:val="id-ID"/>
        </w:rPr>
        <w:fldChar w:fldCharType="end"/>
      </w:r>
      <w:r w:rsidR="00581B67" w:rsidRPr="008D3831">
        <w:rPr>
          <w:rFonts w:eastAsia="Times New Roman"/>
          <w:lang w:val="id-ID"/>
        </w:rPr>
        <w:t xml:space="preserve">. Pendekatan konseptual digunakan untuk mempelajari pandangan dan doktrin terkait bujuk rayu, perkosaan, maupun pertimbangan hakim pada kasus </w:t>
      </w:r>
      <w:r w:rsidR="006465AB" w:rsidRPr="008D3831">
        <w:rPr>
          <w:rFonts w:eastAsia="Times New Roman"/>
        </w:rPr>
        <w:t>bujuk rayu yang serupa dengan kasus</w:t>
      </w:r>
      <w:r w:rsidR="00581B67" w:rsidRPr="008D3831">
        <w:rPr>
          <w:rFonts w:eastAsia="Times New Roman"/>
          <w:lang w:val="id-ID"/>
        </w:rPr>
        <w:t xml:space="preserve"> dalam penelitian ini.</w:t>
      </w:r>
    </w:p>
    <w:p w14:paraId="1B5FAC0B" w14:textId="77777777" w:rsidR="000A2D89" w:rsidRPr="008D3831" w:rsidRDefault="001F7AC1" w:rsidP="0048135E">
      <w:pPr>
        <w:spacing w:line="276" w:lineRule="auto"/>
        <w:ind w:right="27" w:firstLine="426"/>
        <w:contextualSpacing/>
        <w:jc w:val="both"/>
        <w:rPr>
          <w:rFonts w:eastAsia="Times New Roman"/>
          <w:lang w:val="id-ID"/>
        </w:rPr>
      </w:pPr>
      <w:r w:rsidRPr="008D3831">
        <w:rPr>
          <w:rFonts w:eastAsia="Times New Roman"/>
          <w:lang w:val="id-ID"/>
        </w:rPr>
        <w:t>Sumber bahan hukum dalam penelitian ini dibedakan menjadi sumber bahan hukum primer dan bahan hukum sekunder Bahan hukum primer merupakan data-data yang dihimpun dari p</w:t>
      </w:r>
      <w:r w:rsidR="000A2D89" w:rsidRPr="008D3831">
        <w:rPr>
          <w:rFonts w:eastAsia="Times New Roman"/>
          <w:lang w:val="id-ID"/>
        </w:rPr>
        <w:t>eraturan seperti</w:t>
      </w:r>
      <w:r w:rsidRPr="008D3831">
        <w:rPr>
          <w:rFonts w:eastAsia="Times New Roman"/>
          <w:lang w:val="id-ID"/>
        </w:rPr>
        <w:t xml:space="preserve"> </w:t>
      </w:r>
      <w:r w:rsidR="000A2D89" w:rsidRPr="008D3831">
        <w:rPr>
          <w:rFonts w:eastAsia="Times New Roman"/>
          <w:lang w:val="id-ID"/>
        </w:rPr>
        <w:t>Undang-undang Nomor 1 Tahun 1946 tentang Peraturan Hukum Pidana;</w:t>
      </w:r>
      <w:r w:rsidR="000A2D89" w:rsidRPr="008D3831">
        <w:rPr>
          <w:rFonts w:eastAsia="Times New Roman"/>
          <w:lang w:val="id-ID"/>
        </w:rPr>
        <w:tab/>
        <w:t>Undang-Undang Nomor 48 Tahun 2009 Tentang Kekuasaan Kehakiman; Undang-Undang Nomor 23 Tahun 2002 Tentang Perlindungan Anak;</w:t>
      </w:r>
      <w:r w:rsidR="000A2D89" w:rsidRPr="008D3831">
        <w:rPr>
          <w:rFonts w:eastAsia="Times New Roman"/>
          <w:lang w:val="id-ID"/>
        </w:rPr>
        <w:lastRenderedPageBreak/>
        <w:tab/>
        <w:t>Undang-Undang Nomor 5 Tahun 2018 tentang Perubahan Atas Undang-Undang Nomor 15 Tahun 2003 Tentang Penetapan Peraturan Pemerintah Pengganti Undang-Undang Nomor 1 Tahun 2002 Tentang Pemberantasan Tindak Pidana Terorisme Menjadi Undang-Undang; Putusan Mahkamah Konstitusi Nomor Nomor 1/PUU-XI/2013; Putusan Pengadilan Negeri Bengkulu Nomor 410/Pid.b/2014/PN.BGL; Putusan Pengadilan Tinggi Bengkulu Nomor 12/PID/2015/PT.BGL</w:t>
      </w:r>
      <w:r w:rsidR="001602EB" w:rsidRPr="008D3831">
        <w:rPr>
          <w:rFonts w:eastAsia="Times New Roman"/>
          <w:lang w:val="id-ID"/>
        </w:rPr>
        <w:t>; Putusan Mahkamah Agung Nomor 786 K/Pid/2015.</w:t>
      </w:r>
      <w:r w:rsidRPr="008D3831">
        <w:rPr>
          <w:rFonts w:eastAsia="Times New Roman"/>
          <w:lang w:val="id-ID"/>
        </w:rPr>
        <w:t xml:space="preserve"> Bahan hukum sekunder yang digunakan dalam peneltian ini adalah buku, jurnal penelitian dan dokumen resmi yang membahas tentang hukum pidana, kekuasaan kehakiman, penafsiran hukum, perluasan makna. </w:t>
      </w:r>
    </w:p>
    <w:p w14:paraId="4057E9DA" w14:textId="77777777" w:rsidR="000A2D89" w:rsidRPr="008D3831" w:rsidRDefault="001F7AC1" w:rsidP="0048135E">
      <w:pPr>
        <w:spacing w:line="276" w:lineRule="auto"/>
        <w:ind w:right="27" w:firstLine="426"/>
        <w:contextualSpacing/>
        <w:jc w:val="both"/>
        <w:rPr>
          <w:rFonts w:eastAsia="Times New Roman"/>
          <w:lang w:val="id-ID"/>
        </w:rPr>
      </w:pPr>
      <w:r w:rsidRPr="008D3831">
        <w:rPr>
          <w:rFonts w:eastAsia="Times New Roman"/>
          <w:lang w:val="id-ID"/>
        </w:rPr>
        <w:t>Metode pengumpulan bahan hukum yang digunakan adalah studi kepustakaan, yaitu mengumpulkan informasi dan bah</w:t>
      </w:r>
      <w:r w:rsidR="007A3F97" w:rsidRPr="008D3831">
        <w:rPr>
          <w:rFonts w:eastAsia="Times New Roman"/>
          <w:lang w:val="id-ID"/>
        </w:rPr>
        <w:t>an hukum yang berkaitan dengan, s</w:t>
      </w:r>
      <w:r w:rsidRPr="008D3831">
        <w:rPr>
          <w:rFonts w:eastAsia="Times New Roman"/>
          <w:lang w:val="id-ID"/>
        </w:rPr>
        <w:t>tudi kepustakaan yang dilakukan dalam penelitian ini adalah mengumpulkan informasi dan bahan hukum yang berkaitan dengan perluasan makna dan konsep-konsep penafsiran hukum. Informasi</w:t>
      </w:r>
      <w:r w:rsidR="003F71BF" w:rsidRPr="008D3831">
        <w:rPr>
          <w:rFonts w:eastAsia="Times New Roman"/>
          <w:lang w:val="id-ID"/>
        </w:rPr>
        <w:t xml:space="preserve"> yang dijadikan rujukan </w:t>
      </w:r>
      <w:r w:rsidRPr="008D3831">
        <w:rPr>
          <w:rFonts w:eastAsia="Times New Roman"/>
          <w:lang w:val="id-ID"/>
        </w:rPr>
        <w:t xml:space="preserve">dalam penelitian ini adalah buku-buku hukum yang membahas tentang hukum pidana dan penafsiran hukum, jurnal internasional maupun nasional mengenai tindak pidana perkosaan, penelitian sejenis dan beberapa berita online mengenai topik pemerkosaan. </w:t>
      </w:r>
    </w:p>
    <w:p w14:paraId="07B33175" w14:textId="17D732F2" w:rsidR="0048135E" w:rsidRPr="008D3831" w:rsidRDefault="001F7AC1" w:rsidP="0048135E">
      <w:pPr>
        <w:spacing w:line="276" w:lineRule="auto"/>
        <w:ind w:right="27" w:firstLine="426"/>
        <w:contextualSpacing/>
        <w:jc w:val="both"/>
        <w:rPr>
          <w:rFonts w:eastAsia="Times New Roman"/>
          <w:lang w:val="id-ID"/>
        </w:rPr>
      </w:pPr>
      <w:r w:rsidRPr="008D3831">
        <w:rPr>
          <w:rFonts w:eastAsia="Times New Roman"/>
          <w:lang w:val="id-ID"/>
        </w:rPr>
        <w:t xml:space="preserve">Teknik analisis bahan hukum yang dilakukan dalam penelitian ini menggunakan metode preskripsi, yaitu mengidentifikasi fakta-fakta hukum dan mengeleminasi bahan-bahan yang tidak memiliki kaitan dengan masalah penelitian, melakukan pencarian jawaban rumusan masalah berdasarkan bahan hukum yang telah terkumpul, lalu melakukan penarikan kesimpulan sebagai jawaban atas rumusan masalah </w:t>
      </w:r>
      <w:r w:rsidR="000A2D89" w:rsidRPr="008D3831">
        <w:rPr>
          <w:rFonts w:eastAsia="Times New Roman"/>
          <w:lang w:val="id-ID"/>
        </w:rPr>
        <w:fldChar w:fldCharType="begin" w:fldLock="1"/>
      </w:r>
      <w:r w:rsidR="00841AB4" w:rsidRPr="008D3831">
        <w:rPr>
          <w:rFonts w:eastAsia="Times New Roman"/>
          <w:lang w:val="id-ID"/>
        </w:rPr>
        <w:instrText>ADDIN CSL_CITATION {"citationItems":[{"id":"ITEM-1","itemData":{"author":[{"dropping-particle":"","family":"Ibrahim","given":"Johny","non-dropping-particle":"","parse-names":false,"suffix":""}],"id":"ITEM-1","issued":{"date-parts":[["2005"]]},"publisher":"Bayumedia Publishing","publisher-place":"Malang","title":"Teori &amp; Metodologi Penelitian Hukum Normatif","type":"book"},"uris":["http://www.mendeley.com/documents/?uuid=db5de1c0-3494-4f70-861b-8f113eaada82"]}],"mendeley":{"formattedCitation":"(Ibrahim 2005)","plainTextFormattedCitation":"(Ibrahim 2005)","previouslyFormattedCitation":"(Ibrahim 2005)"},"properties":{"noteIndex":0},"schema":"https://github.com/citation-style-language/schema/raw/master/csl-citation.json"}</w:instrText>
      </w:r>
      <w:r w:rsidR="000A2D89" w:rsidRPr="008D3831">
        <w:rPr>
          <w:rFonts w:eastAsia="Times New Roman"/>
          <w:lang w:val="id-ID"/>
        </w:rPr>
        <w:fldChar w:fldCharType="separate"/>
      </w:r>
      <w:r w:rsidR="00841AB4" w:rsidRPr="008D3831">
        <w:rPr>
          <w:rFonts w:eastAsia="Times New Roman"/>
          <w:noProof/>
          <w:lang w:val="id-ID"/>
        </w:rPr>
        <w:t>(Ibrahim 2005)</w:t>
      </w:r>
      <w:r w:rsidR="000A2D89" w:rsidRPr="008D3831">
        <w:rPr>
          <w:rFonts w:eastAsia="Times New Roman"/>
          <w:lang w:val="id-ID"/>
        </w:rPr>
        <w:fldChar w:fldCharType="end"/>
      </w:r>
      <w:r w:rsidRPr="008D3831">
        <w:rPr>
          <w:rFonts w:eastAsia="Times New Roman"/>
          <w:lang w:val="id-ID"/>
        </w:rPr>
        <w:t>.</w:t>
      </w:r>
    </w:p>
    <w:p w14:paraId="007D0024" w14:textId="77777777" w:rsidR="00AC2DBB" w:rsidRPr="008D3831" w:rsidRDefault="007A3F97" w:rsidP="0048135E">
      <w:pPr>
        <w:spacing w:before="240" w:after="40"/>
        <w:ind w:right="28"/>
        <w:jc w:val="both"/>
        <w:rPr>
          <w:rFonts w:eastAsia="Times New Roman"/>
          <w:b/>
          <w:lang w:val="id-ID"/>
        </w:rPr>
      </w:pPr>
      <w:r w:rsidRPr="008D3831">
        <w:rPr>
          <w:rFonts w:eastAsia="Times New Roman"/>
          <w:b/>
          <w:lang w:val="id-ID"/>
        </w:rPr>
        <w:t xml:space="preserve">HASIL DAN </w:t>
      </w:r>
      <w:r w:rsidR="001F7AC1" w:rsidRPr="008D3831">
        <w:rPr>
          <w:rFonts w:eastAsia="Times New Roman"/>
          <w:b/>
          <w:lang w:val="id-ID"/>
        </w:rPr>
        <w:t>PEMBAHASAN</w:t>
      </w:r>
    </w:p>
    <w:p w14:paraId="567B261D" w14:textId="77777777" w:rsidR="00AC2DBB" w:rsidRPr="008D3831" w:rsidRDefault="001F7AC1" w:rsidP="0048135E">
      <w:pPr>
        <w:pStyle w:val="Heading2"/>
        <w:spacing w:line="276" w:lineRule="auto"/>
        <w:ind w:left="0" w:firstLine="0"/>
        <w:rPr>
          <w:rFonts w:ascii="Times New Roman" w:hAnsi="Times New Roman"/>
          <w:sz w:val="20"/>
          <w:szCs w:val="20"/>
          <w:lang w:val="id-ID"/>
        </w:rPr>
      </w:pPr>
      <w:bookmarkStart w:id="0" w:name="_Toc66469298"/>
      <w:r w:rsidRPr="008D3831">
        <w:rPr>
          <w:rFonts w:ascii="Times New Roman" w:hAnsi="Times New Roman"/>
          <w:sz w:val="20"/>
          <w:szCs w:val="20"/>
          <w:lang w:val="id-ID"/>
        </w:rPr>
        <w:t xml:space="preserve">Penggunaan </w:t>
      </w:r>
      <w:bookmarkEnd w:id="0"/>
      <w:r w:rsidR="007A3F97" w:rsidRPr="008D3831">
        <w:rPr>
          <w:rFonts w:ascii="Times New Roman" w:hAnsi="Times New Roman"/>
          <w:sz w:val="20"/>
          <w:szCs w:val="20"/>
          <w:lang w:val="id-ID"/>
        </w:rPr>
        <w:t xml:space="preserve">Bujuk Rayu Dalam </w:t>
      </w:r>
      <w:r w:rsidR="005061F6" w:rsidRPr="008D3831">
        <w:rPr>
          <w:rFonts w:ascii="Times New Roman" w:hAnsi="Times New Roman"/>
          <w:sz w:val="20"/>
          <w:szCs w:val="20"/>
          <w:lang w:val="id-ID"/>
        </w:rPr>
        <w:t>Pasal</w:t>
      </w:r>
      <w:r w:rsidR="00B549CB" w:rsidRPr="008D3831">
        <w:rPr>
          <w:rFonts w:ascii="Times New Roman" w:hAnsi="Times New Roman"/>
          <w:sz w:val="20"/>
          <w:szCs w:val="20"/>
          <w:lang w:val="id-ID"/>
        </w:rPr>
        <w:t xml:space="preserve"> </w:t>
      </w:r>
      <w:r w:rsidR="007A3F97" w:rsidRPr="008D3831">
        <w:rPr>
          <w:rFonts w:ascii="Times New Roman" w:hAnsi="Times New Roman"/>
          <w:sz w:val="20"/>
          <w:szCs w:val="20"/>
          <w:lang w:val="id-ID"/>
        </w:rPr>
        <w:t xml:space="preserve">81 Ayat (2) </w:t>
      </w:r>
      <w:r w:rsidR="00B549CB" w:rsidRPr="008D3831">
        <w:rPr>
          <w:rFonts w:ascii="Times New Roman" w:hAnsi="Times New Roman"/>
          <w:sz w:val="20"/>
          <w:szCs w:val="20"/>
          <w:lang w:val="id-ID"/>
        </w:rPr>
        <w:t>Undang</w:t>
      </w:r>
      <w:r w:rsidR="007A3F97" w:rsidRPr="008D3831">
        <w:rPr>
          <w:rFonts w:ascii="Times New Roman" w:hAnsi="Times New Roman"/>
          <w:sz w:val="20"/>
          <w:szCs w:val="20"/>
          <w:lang w:val="id-ID"/>
        </w:rPr>
        <w:t>-</w:t>
      </w:r>
      <w:r w:rsidR="00B549CB" w:rsidRPr="008D3831">
        <w:rPr>
          <w:rFonts w:ascii="Times New Roman" w:hAnsi="Times New Roman"/>
          <w:sz w:val="20"/>
          <w:szCs w:val="20"/>
          <w:lang w:val="id-ID"/>
        </w:rPr>
        <w:t xml:space="preserve">Undang Nomor </w:t>
      </w:r>
      <w:r w:rsidR="007A3F97" w:rsidRPr="008D3831">
        <w:rPr>
          <w:rFonts w:ascii="Times New Roman" w:hAnsi="Times New Roman"/>
          <w:sz w:val="20"/>
          <w:szCs w:val="20"/>
          <w:lang w:val="id-ID"/>
        </w:rPr>
        <w:t xml:space="preserve">23 </w:t>
      </w:r>
      <w:r w:rsidR="00B549CB" w:rsidRPr="008D3831">
        <w:rPr>
          <w:rFonts w:ascii="Times New Roman" w:hAnsi="Times New Roman"/>
          <w:sz w:val="20"/>
          <w:szCs w:val="20"/>
          <w:lang w:val="id-ID"/>
        </w:rPr>
        <w:t xml:space="preserve">Tahun </w:t>
      </w:r>
      <w:r w:rsidR="007A3F97" w:rsidRPr="008D3831">
        <w:rPr>
          <w:rFonts w:ascii="Times New Roman" w:hAnsi="Times New Roman"/>
          <w:sz w:val="20"/>
          <w:szCs w:val="20"/>
          <w:lang w:val="id-ID"/>
        </w:rPr>
        <w:t xml:space="preserve">2002 Tentang </w:t>
      </w:r>
      <w:r w:rsidR="00B549CB" w:rsidRPr="008D3831">
        <w:rPr>
          <w:rFonts w:ascii="Times New Roman" w:hAnsi="Times New Roman"/>
          <w:sz w:val="20"/>
          <w:szCs w:val="20"/>
          <w:lang w:val="id-ID"/>
        </w:rPr>
        <w:t>Perl</w:t>
      </w:r>
      <w:r w:rsidR="007A3F97" w:rsidRPr="008D3831">
        <w:rPr>
          <w:rFonts w:ascii="Times New Roman" w:hAnsi="Times New Roman"/>
          <w:sz w:val="20"/>
          <w:szCs w:val="20"/>
          <w:lang w:val="id-ID"/>
        </w:rPr>
        <w:t>indungan Anak Pada Orang Dewasa</w:t>
      </w:r>
    </w:p>
    <w:p w14:paraId="4D7219DA" w14:textId="77777777" w:rsidR="00B75AA8" w:rsidRPr="008D3831" w:rsidRDefault="00D14E27" w:rsidP="0048135E">
      <w:pPr>
        <w:pStyle w:val="ListParagraph"/>
        <w:numPr>
          <w:ilvl w:val="3"/>
          <w:numId w:val="13"/>
        </w:numPr>
        <w:spacing w:line="276" w:lineRule="auto"/>
        <w:ind w:left="426"/>
        <w:jc w:val="both"/>
        <w:rPr>
          <w:b/>
          <w:lang w:val="id-ID"/>
        </w:rPr>
      </w:pPr>
      <w:r w:rsidRPr="008D3831">
        <w:rPr>
          <w:rFonts w:eastAsia="Times New Roman"/>
          <w:b/>
          <w:bCs/>
          <w:lang w:val="id-ID"/>
        </w:rPr>
        <w:t xml:space="preserve">Istilah Bujuk Rayu </w:t>
      </w:r>
      <w:r w:rsidR="007A3F97" w:rsidRPr="008D3831">
        <w:rPr>
          <w:rFonts w:eastAsia="Times New Roman"/>
          <w:b/>
          <w:bCs/>
        </w:rPr>
        <w:t xml:space="preserve">Berdasarkan </w:t>
      </w:r>
      <w:r w:rsidRPr="008D3831">
        <w:rPr>
          <w:rFonts w:eastAsia="Times New Roman"/>
          <w:b/>
          <w:bCs/>
          <w:lang w:val="id-ID"/>
        </w:rPr>
        <w:t>dengan Asas Legalitas</w:t>
      </w:r>
    </w:p>
    <w:p w14:paraId="2D56940B" w14:textId="29DA3D85" w:rsidR="00AC2DBB" w:rsidRPr="008D3831" w:rsidRDefault="001F7AC1" w:rsidP="0048135E">
      <w:pPr>
        <w:spacing w:line="276" w:lineRule="auto"/>
        <w:ind w:right="27" w:firstLine="426"/>
        <w:contextualSpacing/>
        <w:jc w:val="both"/>
        <w:rPr>
          <w:rFonts w:eastAsia="Times New Roman"/>
          <w:lang w:val="id-ID"/>
        </w:rPr>
      </w:pPr>
      <w:r w:rsidRPr="008D3831">
        <w:rPr>
          <w:rFonts w:eastAsia="Times New Roman"/>
          <w:lang w:val="id-ID"/>
        </w:rPr>
        <w:t xml:space="preserve">Istilah bujuk rayu berasal dari kata “bujuk” dan “rayu”. </w:t>
      </w:r>
      <w:r w:rsidR="008B5873" w:rsidRPr="008D3831">
        <w:rPr>
          <w:rFonts w:eastAsia="Times New Roman"/>
          <w:lang w:val="id-ID"/>
        </w:rPr>
        <w:t>Menurut Kamus Besar Bahasa Indonesia “b</w:t>
      </w:r>
      <w:r w:rsidRPr="008D3831">
        <w:rPr>
          <w:rFonts w:eastAsia="Times New Roman"/>
          <w:lang w:val="id-ID"/>
        </w:rPr>
        <w:t>ujuk</w:t>
      </w:r>
      <w:r w:rsidR="008B5873" w:rsidRPr="008D3831">
        <w:rPr>
          <w:rFonts w:eastAsia="Times New Roman"/>
          <w:lang w:val="id-ID"/>
        </w:rPr>
        <w:t>”</w:t>
      </w:r>
      <w:r w:rsidRPr="008D3831">
        <w:rPr>
          <w:rFonts w:eastAsia="Times New Roman"/>
          <w:lang w:val="id-ID"/>
        </w:rPr>
        <w:t xml:space="preserve"> adalah usaha untuk meyakinkan seseorang bahwa yang dikatakan benar</w:t>
      </w:r>
      <w:r w:rsidR="00841AB4" w:rsidRPr="008D3831">
        <w:rPr>
          <w:rFonts w:eastAsia="Times New Roman"/>
          <w:lang w:val="id-ID"/>
        </w:rPr>
        <w:t xml:space="preserve"> </w:t>
      </w:r>
      <w:r w:rsidR="00841AB4" w:rsidRPr="008D3831">
        <w:rPr>
          <w:rFonts w:eastAsia="Times New Roman"/>
          <w:lang w:val="id-ID"/>
        </w:rPr>
        <w:fldChar w:fldCharType="begin" w:fldLock="1"/>
      </w:r>
      <w:r w:rsidR="00841AB4" w:rsidRPr="008D3831">
        <w:rPr>
          <w:rFonts w:eastAsia="Times New Roman"/>
          <w:lang w:val="id-ID"/>
        </w:rPr>
        <w:instrText>ADDIN CSL_CITATION {"citationItems":[{"id":"ITEM-1","itemData":{"URL":"https://kbbi.web.id/bujuk","accessed":{"date-parts":[["2021","3","30"]]},"author":[{"dropping-particle":"","family":"KBBI","given":"","non-dropping-particle":"","parse-names":false,"suffix":""}],"container-title":"Kamus Besar Bahasa Indonesia","id":"ITEM-1","issued":{"date-parts":[["0"]]},"title":"definisi bujuk","type":"webpage"},"uris":["http://www.mendeley.com/documents/?uuid=ceba421b-1a65-48b3-bcb9-f92421326b26"]}],"mendeley":{"formattedCitation":"(KBBI n.d.)","plainTextFormattedCitation":"(KBBI n.d.)","previouslyFormattedCitation":"(KBBI n.d.)"},"properties":{"noteIndex":0},"schema":"https://github.com/citation-style-language/schema/raw/master/csl-citation.json"}</w:instrText>
      </w:r>
      <w:r w:rsidR="00841AB4" w:rsidRPr="008D3831">
        <w:rPr>
          <w:rFonts w:eastAsia="Times New Roman"/>
          <w:lang w:val="id-ID"/>
        </w:rPr>
        <w:fldChar w:fldCharType="separate"/>
      </w:r>
      <w:r w:rsidR="00841AB4" w:rsidRPr="008D3831">
        <w:rPr>
          <w:rFonts w:eastAsia="Times New Roman"/>
          <w:noProof/>
          <w:lang w:val="id-ID"/>
        </w:rPr>
        <w:t>(KBBI n.d.)</w:t>
      </w:r>
      <w:r w:rsidR="00841AB4" w:rsidRPr="008D3831">
        <w:rPr>
          <w:rFonts w:eastAsia="Times New Roman"/>
          <w:lang w:val="id-ID"/>
        </w:rPr>
        <w:fldChar w:fldCharType="end"/>
      </w:r>
      <w:r w:rsidR="00B75AA8" w:rsidRPr="008D3831">
        <w:rPr>
          <w:rFonts w:eastAsia="Times New Roman"/>
          <w:lang w:val="id-ID"/>
        </w:rPr>
        <w:t>,</w:t>
      </w:r>
      <w:r w:rsidR="008B5873" w:rsidRPr="008D3831">
        <w:rPr>
          <w:rFonts w:eastAsia="Times New Roman"/>
          <w:lang w:val="id-ID"/>
        </w:rPr>
        <w:t xml:space="preserve"> </w:t>
      </w:r>
      <w:r w:rsidRPr="008D3831">
        <w:rPr>
          <w:rFonts w:eastAsia="Times New Roman"/>
          <w:lang w:val="id-ID"/>
        </w:rPr>
        <w:t xml:space="preserve">sedangkan </w:t>
      </w:r>
      <w:r w:rsidR="008B5873" w:rsidRPr="008D3831">
        <w:rPr>
          <w:rFonts w:eastAsia="Times New Roman"/>
          <w:lang w:val="id-ID"/>
        </w:rPr>
        <w:t>“</w:t>
      </w:r>
      <w:r w:rsidRPr="008D3831">
        <w:rPr>
          <w:rFonts w:eastAsia="Times New Roman"/>
          <w:lang w:val="id-ID"/>
        </w:rPr>
        <w:t>rayu</w:t>
      </w:r>
      <w:r w:rsidR="008B5873" w:rsidRPr="008D3831">
        <w:rPr>
          <w:rFonts w:eastAsia="Times New Roman"/>
          <w:lang w:val="id-ID"/>
        </w:rPr>
        <w:t>”</w:t>
      </w:r>
      <w:r w:rsidRPr="008D3831">
        <w:rPr>
          <w:rFonts w:eastAsia="Times New Roman"/>
          <w:lang w:val="id-ID"/>
        </w:rPr>
        <w:t xml:space="preserve"> adalah menyenangkan hati (memikat) dengan kata-kata manis dan sebagainya</w:t>
      </w:r>
      <w:r w:rsidR="008B5873" w:rsidRPr="008D3831">
        <w:rPr>
          <w:rFonts w:eastAsia="Times New Roman"/>
          <w:lang w:val="id-ID"/>
        </w:rPr>
        <w:t xml:space="preserve"> </w:t>
      </w:r>
      <w:r w:rsidR="008B5873" w:rsidRPr="008D3831">
        <w:rPr>
          <w:rFonts w:eastAsia="Times New Roman"/>
          <w:lang w:val="id-ID"/>
        </w:rPr>
        <w:fldChar w:fldCharType="begin" w:fldLock="1"/>
      </w:r>
      <w:r w:rsidR="008711D3" w:rsidRPr="008D3831">
        <w:rPr>
          <w:rFonts w:eastAsia="Times New Roman"/>
          <w:lang w:val="id-ID"/>
        </w:rPr>
        <w:instrText>ADDIN CSL_CITATION {"citationItems":[{"id":"ITEM-1","itemData":{"URL":"https://kbbi.web.id/rayu-2","accessed":{"date-parts":[["2021","3","30"]]},"author":[{"dropping-particle":"","family":"KBBI","given":"","non-dropping-particle":"","parse-names":false,"suffix":""}],"container-title":"Kamus Besar Bahasa Indonesia","id":"ITEM-1","issued":{"date-parts":[["0"]]},"title":"Definisi Rayu","type":"webpage"},"uris":["http://www.mendeley.com/documents/?uuid=8a606b89-a083-4a4e-a722-b2247ee68cff"]}],"mendeley":{"formattedCitation":"(KBBI n.d.)","plainTextFormattedCitation":"(KBBI n.d.)","previouslyFormattedCitation":"(KBBI n.d.)"},"properties":{"noteIndex":0},"schema":"https://github.com/citation-style-language/schema/raw/master/csl-citation.json"}</w:instrText>
      </w:r>
      <w:r w:rsidR="008B5873" w:rsidRPr="008D3831">
        <w:rPr>
          <w:rFonts w:eastAsia="Times New Roman"/>
          <w:lang w:val="id-ID"/>
        </w:rPr>
        <w:fldChar w:fldCharType="separate"/>
      </w:r>
      <w:r w:rsidR="008711D3" w:rsidRPr="008D3831">
        <w:rPr>
          <w:rFonts w:eastAsia="Times New Roman"/>
          <w:noProof/>
          <w:lang w:val="id-ID"/>
        </w:rPr>
        <w:t>(KBBI n.d.)</w:t>
      </w:r>
      <w:r w:rsidR="008B5873" w:rsidRPr="008D3831">
        <w:rPr>
          <w:rFonts w:eastAsia="Times New Roman"/>
          <w:lang w:val="id-ID"/>
        </w:rPr>
        <w:fldChar w:fldCharType="end"/>
      </w:r>
      <w:r w:rsidRPr="008D3831">
        <w:rPr>
          <w:rFonts w:eastAsia="Times New Roman"/>
          <w:lang w:val="id-ID"/>
        </w:rPr>
        <w:t>.</w:t>
      </w:r>
      <w:r w:rsidR="008B5873" w:rsidRPr="008D3831">
        <w:rPr>
          <w:rFonts w:eastAsia="Times New Roman"/>
          <w:lang w:val="id-ID"/>
        </w:rPr>
        <w:t xml:space="preserve"> </w:t>
      </w:r>
      <w:r w:rsidRPr="008D3831">
        <w:rPr>
          <w:rFonts w:eastAsia="Times New Roman"/>
          <w:lang w:val="id-ID"/>
        </w:rPr>
        <w:t>Berdasarkan pengerti tersebut bujuk rayu dapat diartikan sebagai perbuatan untuk meyakinkan seseorang untuk tujuan tertentu dengan cara menyenangkan hati atau memikat hati dengan kata-kata manis.</w:t>
      </w:r>
    </w:p>
    <w:p w14:paraId="6D7A2749" w14:textId="77777777" w:rsidR="00AC2DBB" w:rsidRPr="008D3831" w:rsidRDefault="001F7AC1" w:rsidP="0048135E">
      <w:pPr>
        <w:spacing w:line="276" w:lineRule="auto"/>
        <w:ind w:right="27" w:firstLine="426"/>
        <w:contextualSpacing/>
        <w:jc w:val="both"/>
        <w:rPr>
          <w:rFonts w:eastAsia="Times New Roman"/>
          <w:lang w:val="id-ID"/>
        </w:rPr>
      </w:pPr>
      <w:r w:rsidRPr="008D3831">
        <w:rPr>
          <w:rFonts w:eastAsia="Times New Roman"/>
          <w:lang w:val="id-ID"/>
        </w:rPr>
        <w:lastRenderedPageBreak/>
        <w:t xml:space="preserve">Dalam tindak pidana perkosaan istilah “bujuk rayu” berasal dari ayat (2) </w:t>
      </w:r>
      <w:r w:rsidR="005061F6" w:rsidRPr="008D3831">
        <w:rPr>
          <w:rFonts w:eastAsia="Times New Roman"/>
          <w:lang w:val="id-ID"/>
        </w:rPr>
        <w:t>Pasal</w:t>
      </w:r>
      <w:r w:rsidRPr="008D3831">
        <w:rPr>
          <w:rFonts w:eastAsia="Times New Roman"/>
          <w:lang w:val="id-ID"/>
        </w:rPr>
        <w:t xml:space="preserve"> 81 Undang-Undang Nomor 23 Tahun 2002 tentang Perlindungan Anak. Dalam ayat (2) tersebut terdapat frase “membujuk” yang merupakan asal dari istilah</w:t>
      </w:r>
      <w:r w:rsidRPr="008D3831">
        <w:rPr>
          <w:lang w:val="id-ID"/>
        </w:rPr>
        <w:t xml:space="preserve"> bujuk rayu. </w:t>
      </w:r>
      <w:r w:rsidR="005061F6" w:rsidRPr="008D3831">
        <w:rPr>
          <w:rFonts w:eastAsia="Times New Roman"/>
          <w:lang w:val="id-ID"/>
        </w:rPr>
        <w:t>Pasal</w:t>
      </w:r>
      <w:r w:rsidRPr="008D3831">
        <w:rPr>
          <w:rFonts w:eastAsia="Times New Roman"/>
          <w:lang w:val="id-ID"/>
        </w:rPr>
        <w:t xml:space="preserve"> 81 Undang-Undang Nomor 23 Tahun 2002 tentang Perlindungan Anak yang menyatakan bahwa :</w:t>
      </w:r>
    </w:p>
    <w:p w14:paraId="02420BB1" w14:textId="77777777" w:rsidR="00AC2DBB" w:rsidRPr="008D3831" w:rsidRDefault="001F7AC1" w:rsidP="0048135E">
      <w:pPr>
        <w:spacing w:line="276" w:lineRule="auto"/>
        <w:ind w:left="400" w:firstLine="451"/>
        <w:jc w:val="both"/>
        <w:rPr>
          <w:rFonts w:eastAsia="Times New Roman"/>
          <w:i/>
          <w:lang w:val="id-ID"/>
        </w:rPr>
      </w:pPr>
      <w:r w:rsidRPr="008D3831">
        <w:rPr>
          <w:rFonts w:eastAsia="Times New Roman"/>
          <w:lang w:val="id-ID"/>
        </w:rPr>
        <w:t>“</w:t>
      </w:r>
      <w:r w:rsidRPr="008D3831">
        <w:rPr>
          <w:rFonts w:eastAsia="Times New Roman"/>
          <w:i/>
          <w:lang w:val="id-ID"/>
        </w:rPr>
        <w:t>(1) Setiap orang yang dengan sengaja melakukan kekerasan atau ancaman kekerasan memaksa anak melakukan persetubuhan dengannya atau dengan orang lain, dipidana dengan pidana penjara paling lama 15 (lima belas) tahun dan paling singkat  3 (tiga) tahun dan denda paling banyak Rp 300.000.000,00 (tiga ratus juta rupiah) dan paling sedikit Rp 60.000.000,00 (enam puluh juta rupiah).</w:t>
      </w:r>
    </w:p>
    <w:p w14:paraId="3AC735A1" w14:textId="77777777" w:rsidR="00AC2DBB" w:rsidRPr="008D3831" w:rsidRDefault="001F7AC1" w:rsidP="0048135E">
      <w:pPr>
        <w:spacing w:line="276" w:lineRule="auto"/>
        <w:ind w:left="400" w:firstLine="451"/>
        <w:jc w:val="both"/>
        <w:rPr>
          <w:rFonts w:eastAsia="Times New Roman"/>
          <w:lang w:val="id-ID"/>
        </w:rPr>
      </w:pPr>
      <w:r w:rsidRPr="008D3831">
        <w:rPr>
          <w:rFonts w:eastAsia="Times New Roman"/>
          <w:i/>
          <w:lang w:val="id-ID"/>
        </w:rPr>
        <w:t>(2) Ketentuan pidana sebagaimana dimaksud dalam ayat (1) berlaku pula bagi setiap orang yang dengan sengaja melakukan tipu muslihat, serangkaian kebohongan, atau membujuk anak melakukan persetubuhan dengannya atau dengan orang lain.</w:t>
      </w:r>
      <w:r w:rsidRPr="008D3831">
        <w:rPr>
          <w:rFonts w:eastAsia="Times New Roman"/>
          <w:lang w:val="id-ID"/>
        </w:rPr>
        <w:t>”</w:t>
      </w:r>
    </w:p>
    <w:p w14:paraId="07614167" w14:textId="77777777" w:rsidR="00B75AA8" w:rsidRPr="008D3831" w:rsidRDefault="001F7AC1" w:rsidP="0048135E">
      <w:pPr>
        <w:spacing w:line="276" w:lineRule="auto"/>
        <w:ind w:right="27" w:firstLine="426"/>
        <w:contextualSpacing/>
        <w:jc w:val="both"/>
        <w:rPr>
          <w:rFonts w:eastAsia="Times New Roman"/>
          <w:lang w:val="id-ID"/>
        </w:rPr>
      </w:pPr>
      <w:r w:rsidRPr="008D3831">
        <w:rPr>
          <w:lang w:val="id-ID"/>
        </w:rPr>
        <w:t xml:space="preserve">Dalam ayat (2) </w:t>
      </w:r>
      <w:r w:rsidR="005061F6" w:rsidRPr="008D3831">
        <w:rPr>
          <w:lang w:val="id-ID"/>
        </w:rPr>
        <w:t>Pasal</w:t>
      </w:r>
      <w:r w:rsidRPr="008D3831">
        <w:rPr>
          <w:lang w:val="id-ID"/>
        </w:rPr>
        <w:t xml:space="preserve"> 81 diatas menyebutkan </w:t>
      </w:r>
      <w:r w:rsidRPr="008D3831">
        <w:rPr>
          <w:rFonts w:eastAsia="Times New Roman"/>
          <w:lang w:val="id-ID"/>
        </w:rPr>
        <w:t>Ketentuan pidana sebagaimana dimaksud dalam ayat (1) berlaku pula bagi setiap orang yang dengan sengaja melakukan tipu muslihat, serangkaian kebohongan, atau membujuk anak melakukan persetubuhan dengannya atau dengan orang lain, artinya menggunakan tipu muslihat, kebohongan, bujuk rayu juga dianggap sebagai bentuk kekerasan dan ancaman kekerasan dalam Undang-Undang Nomor 23 Tahun 2002 tentang Perlindungan Anak.</w:t>
      </w:r>
    </w:p>
    <w:p w14:paraId="3916C3B7" w14:textId="77777777" w:rsidR="00B75AA8" w:rsidRPr="008D3831" w:rsidRDefault="001F7AC1" w:rsidP="0048135E">
      <w:pPr>
        <w:spacing w:line="276" w:lineRule="auto"/>
        <w:ind w:right="27" w:firstLine="426"/>
        <w:contextualSpacing/>
        <w:jc w:val="both"/>
        <w:rPr>
          <w:rFonts w:eastAsia="Times New Roman"/>
          <w:lang w:val="id-ID"/>
        </w:rPr>
      </w:pPr>
      <w:r w:rsidRPr="008D3831">
        <w:rPr>
          <w:rFonts w:eastAsia="Times New Roman"/>
          <w:lang w:val="id-ID"/>
        </w:rPr>
        <w:t xml:space="preserve">Undang-Undang Nomor 23 Tahun 2002 tentang Perlindungan Anak adalah Undang-Undang Khusus yang ditujukan untuk melindungi anak, sehingga tidak berlaku apabila persetubuhan tersebut dilakukan antara orang dewasa. Undang-Undang yang dikhususkan untuk anak tidak akan berlaku bagi orang dewasa karena terdapat Asas Legalitas. Asas Legalitas dalam hukum pidana diatur dalam </w:t>
      </w:r>
      <w:r w:rsidR="005061F6" w:rsidRPr="008D3831">
        <w:rPr>
          <w:rFonts w:eastAsia="Times New Roman"/>
          <w:lang w:val="id-ID"/>
        </w:rPr>
        <w:t>Pasal</w:t>
      </w:r>
      <w:r w:rsidRPr="008D3831">
        <w:rPr>
          <w:rFonts w:eastAsia="Times New Roman"/>
          <w:lang w:val="id-ID"/>
        </w:rPr>
        <w:t xml:space="preserve"> 1 ayat (1) KUHP, yang berbunyi:</w:t>
      </w:r>
    </w:p>
    <w:p w14:paraId="395F1F45" w14:textId="77777777" w:rsidR="00AC2DBB" w:rsidRPr="008D3831" w:rsidRDefault="001F7AC1" w:rsidP="0048135E">
      <w:pPr>
        <w:spacing w:line="276" w:lineRule="auto"/>
        <w:ind w:left="426" w:firstLine="426"/>
        <w:jc w:val="both"/>
        <w:rPr>
          <w:rFonts w:eastAsia="Times New Roman"/>
          <w:lang w:val="id-ID"/>
        </w:rPr>
      </w:pPr>
      <w:r w:rsidRPr="008D3831">
        <w:rPr>
          <w:rFonts w:eastAsia="Times New Roman"/>
          <w:lang w:val="id-ID"/>
        </w:rPr>
        <w:t>“</w:t>
      </w:r>
      <w:r w:rsidRPr="008D3831">
        <w:rPr>
          <w:rFonts w:eastAsia="Times New Roman"/>
          <w:i/>
          <w:lang w:val="id-ID"/>
        </w:rPr>
        <w:t>Tiada suatu perbuatan dapat dipidana, kecuali berdasarkan kekuatan ketentuan perundang-undangan pidana yang telah ada sebelumnya</w:t>
      </w:r>
      <w:r w:rsidRPr="008D3831">
        <w:rPr>
          <w:rFonts w:eastAsia="Times New Roman"/>
          <w:lang w:val="id-ID"/>
        </w:rPr>
        <w:t>.”</w:t>
      </w:r>
    </w:p>
    <w:p w14:paraId="113F611A" w14:textId="77777777" w:rsidR="00AC2DBB" w:rsidRPr="008D3831" w:rsidRDefault="001F7AC1" w:rsidP="0048135E">
      <w:pPr>
        <w:spacing w:line="276" w:lineRule="auto"/>
        <w:ind w:right="27" w:firstLine="426"/>
        <w:contextualSpacing/>
        <w:jc w:val="both"/>
        <w:rPr>
          <w:rFonts w:eastAsia="Times New Roman"/>
          <w:lang w:val="id-ID"/>
        </w:rPr>
      </w:pPr>
      <w:r w:rsidRPr="008D3831">
        <w:rPr>
          <w:lang w:val="id-ID"/>
        </w:rPr>
        <w:t xml:space="preserve">Berdasarkan ayat diatas maka dapat disimpulkan apabila </w:t>
      </w:r>
      <w:r w:rsidRPr="008D3831">
        <w:rPr>
          <w:rFonts w:eastAsia="Times New Roman"/>
          <w:lang w:val="id-ID"/>
        </w:rPr>
        <w:t>suatu</w:t>
      </w:r>
      <w:r w:rsidRPr="008D3831">
        <w:rPr>
          <w:lang w:val="id-ID"/>
        </w:rPr>
        <w:t xml:space="preserve"> perbuatan belum dianggap sebagai tindak pidana dan diatur dalam KUHP, maka perbuatan tersebut bukanlah sebuah Tindak Pidana. Hanya perbuatan yang disebut dengan tegas oleh peraturan perundang-undangan sebagai kejahatan atau pelanggaran, dapat dikenai hukuman (pidana). Asas ini memberikan jaminan kepada orang untuk tidak diperlakukan sewenang-wenang oleh alat penegak hukum. </w:t>
      </w:r>
      <w:r w:rsidRPr="008D3831">
        <w:rPr>
          <w:rFonts w:eastAsia="Times New Roman"/>
          <w:lang w:val="id-ID"/>
        </w:rPr>
        <w:t xml:space="preserve">Dalam ayat (2) </w:t>
      </w:r>
      <w:r w:rsidR="005061F6" w:rsidRPr="008D3831">
        <w:rPr>
          <w:rFonts w:eastAsia="Times New Roman"/>
          <w:lang w:val="id-ID"/>
        </w:rPr>
        <w:t>Pasal</w:t>
      </w:r>
      <w:r w:rsidRPr="008D3831">
        <w:rPr>
          <w:rFonts w:eastAsia="Times New Roman"/>
          <w:lang w:val="id-ID"/>
        </w:rPr>
        <w:t xml:space="preserve"> 81 Undang-</w:t>
      </w:r>
      <w:r w:rsidRPr="008D3831">
        <w:rPr>
          <w:rFonts w:eastAsia="Times New Roman"/>
          <w:lang w:val="id-ID"/>
        </w:rPr>
        <w:lastRenderedPageBreak/>
        <w:t>Undang Nomor 23 Tahun 2002 tentang Perlindungan Anak perbuatan tipu muslihat, serangkaian kebohongan, atau membujuk dalam ayat tersebut hanya ditujukan pada korban yang merupakan anak-anak dan tidak ada keterangan lebih lanjut atau penjelasan yang menyatakan perbuatan-perbuatan diatas dapat berlaku juga bagi korban orang dewasa. Jika merujuk pada asas Legalitas, maka penggunaan istilah bujuk rayu pada tindak pidana perkosaan yang korbannya orang dewasa adalah tidak tepat karena tidak tercantum bahwa bujuk rayu juga berlaku bagi orang dewasa.</w:t>
      </w:r>
    </w:p>
    <w:p w14:paraId="477CDD6A" w14:textId="77777777" w:rsidR="00AC2DBB" w:rsidRPr="008D3831" w:rsidRDefault="00D14E27" w:rsidP="0048135E">
      <w:pPr>
        <w:pStyle w:val="ListParagraph"/>
        <w:numPr>
          <w:ilvl w:val="3"/>
          <w:numId w:val="13"/>
        </w:numPr>
        <w:spacing w:line="276" w:lineRule="auto"/>
        <w:ind w:left="426"/>
        <w:jc w:val="both"/>
        <w:rPr>
          <w:b/>
          <w:i/>
          <w:lang w:val="id-ID"/>
        </w:rPr>
      </w:pPr>
      <w:r w:rsidRPr="008D3831">
        <w:rPr>
          <w:b/>
          <w:bCs/>
        </w:rPr>
        <w:t xml:space="preserve">Istilah Bujuk Rayu </w:t>
      </w:r>
      <w:r w:rsidRPr="008D3831">
        <w:rPr>
          <w:b/>
        </w:rPr>
        <w:t>d</w:t>
      </w:r>
      <w:r w:rsidR="007A3F97" w:rsidRPr="008D3831">
        <w:rPr>
          <w:b/>
          <w:lang w:val="id-ID"/>
        </w:rPr>
        <w:t>i</w:t>
      </w:r>
      <w:r w:rsidR="001F7AC1" w:rsidRPr="008D3831">
        <w:rPr>
          <w:b/>
          <w:lang w:val="id-ID"/>
        </w:rPr>
        <w:t>kaitkan dengan</w:t>
      </w:r>
      <w:r w:rsidR="001F7AC1" w:rsidRPr="008D3831">
        <w:rPr>
          <w:b/>
          <w:i/>
          <w:lang w:val="id-ID"/>
        </w:rPr>
        <w:t xml:space="preserve"> Argumentum A Contrario</w:t>
      </w:r>
    </w:p>
    <w:p w14:paraId="1C47037A" w14:textId="02AB83E7" w:rsidR="00AC2DBB" w:rsidRPr="008D3831" w:rsidRDefault="001F7AC1" w:rsidP="0048135E">
      <w:pPr>
        <w:spacing w:line="276" w:lineRule="auto"/>
        <w:ind w:right="27" w:firstLine="426"/>
        <w:contextualSpacing/>
        <w:jc w:val="both"/>
        <w:rPr>
          <w:lang w:val="id-ID"/>
        </w:rPr>
      </w:pPr>
      <w:r w:rsidRPr="008D3831">
        <w:rPr>
          <w:i/>
          <w:lang w:val="id-ID"/>
        </w:rPr>
        <w:t>Argumentum a contrario</w:t>
      </w:r>
      <w:r w:rsidRPr="008D3831">
        <w:rPr>
          <w:lang w:val="id-ID"/>
        </w:rPr>
        <w:t xml:space="preserve"> adalah salah satu cara untuk menemukan hukum bagi suatu peristiwa yang tidak diatur secara khusus</w:t>
      </w:r>
      <w:r w:rsidR="000A2D89" w:rsidRPr="008D3831">
        <w:rPr>
          <w:lang w:val="id-ID"/>
        </w:rPr>
        <w:t xml:space="preserve"> </w:t>
      </w:r>
      <w:r w:rsidR="000A2D89" w:rsidRPr="008D3831">
        <w:rPr>
          <w:lang w:val="id-ID"/>
        </w:rPr>
        <w:fldChar w:fldCharType="begin" w:fldLock="1"/>
      </w:r>
      <w:r w:rsidR="00D22624" w:rsidRPr="008D3831">
        <w:rPr>
          <w:lang w:val="id-ID"/>
        </w:rPr>
        <w:instrText>ADDIN CSL_CITATION {"citationItems":[{"id":"ITEM-1","itemData":{"author":[{"dropping-particle":"","family":"Mertokusumo","given":"Sudikno","non-dropping-particle":"","parse-names":false,"suffix":""}],"id":"ITEM-1","issued":{"date-parts":[["2007"]]},"publisher":"Liberty","publisher-place":"Yogyakarta","title":"Penemuan Hukum Sebuah Pengantar","type":"book"},"uris":["http://www.mendeley.com/documents/?uuid=0c06c377-7078-4491-bd86-1fb2041bb421"]}],"mendeley":{"formattedCitation":"(Mertokusumo 2007)","plainTextFormattedCitation":"(Mertokusumo 2007)","previouslyFormattedCitation":"(Mertokusumo 2007)"},"properties":{"noteIndex":0},"schema":"https://github.com/citation-style-language/schema/raw/master/csl-citation.json"}</w:instrText>
      </w:r>
      <w:r w:rsidR="000A2D89" w:rsidRPr="008D3831">
        <w:rPr>
          <w:lang w:val="id-ID"/>
        </w:rPr>
        <w:fldChar w:fldCharType="separate"/>
      </w:r>
      <w:r w:rsidR="00D22624" w:rsidRPr="008D3831">
        <w:rPr>
          <w:noProof/>
          <w:lang w:val="id-ID"/>
        </w:rPr>
        <w:t>(Mertokusumo 2007)</w:t>
      </w:r>
      <w:r w:rsidR="000A2D89" w:rsidRPr="008D3831">
        <w:rPr>
          <w:lang w:val="id-ID"/>
        </w:rPr>
        <w:fldChar w:fldCharType="end"/>
      </w:r>
      <w:r w:rsidRPr="008D3831">
        <w:rPr>
          <w:lang w:val="id-ID"/>
        </w:rPr>
        <w:t xml:space="preserve">. Metode </w:t>
      </w:r>
      <w:r w:rsidRPr="008D3831">
        <w:rPr>
          <w:i/>
          <w:lang w:val="id-ID"/>
        </w:rPr>
        <w:t>argumentum a contrario</w:t>
      </w:r>
      <w:r w:rsidRPr="008D3831">
        <w:rPr>
          <w:lang w:val="id-ID"/>
        </w:rPr>
        <w:t xml:space="preserve"> menggunakan penalaran bahwa jika undang-undang menetapkan hal-hal tertentu untuk peristiwa tertentu, berarti peraturan itu terbatas pada peristiwa tertentu dan bagi peristiwa di luarnya berlaku kebalikannya</w:t>
      </w:r>
      <w:r w:rsidR="000A2D89" w:rsidRPr="008D3831">
        <w:rPr>
          <w:lang w:val="id-ID"/>
        </w:rPr>
        <w:t xml:space="preserve"> </w:t>
      </w:r>
      <w:r w:rsidR="000A2D89" w:rsidRPr="008D3831">
        <w:rPr>
          <w:lang w:val="id-ID"/>
        </w:rPr>
        <w:fldChar w:fldCharType="begin" w:fldLock="1"/>
      </w:r>
      <w:r w:rsidR="00D22624" w:rsidRPr="008D3831">
        <w:rPr>
          <w:lang w:val="id-ID"/>
        </w:rPr>
        <w:instrText>ADDIN CSL_CITATION {"citationItems":[{"id":"ITEM-1","itemData":{"author":[{"dropping-particle":"","family":"Ali","given":"Achmad","non-dropping-particle":"","parse-names":false,"suffix":""}],"id":"ITEM-1","issued":{"date-parts":[["2015"]]},"publisher":"Kencana Prenada Media Group","publisher-place":"Jakarta","title":"Menguak Tabir Hukum","type":"book"},"uris":["http://www.mendeley.com/documents/?uuid=eba3ed7e-a678-44dc-aedf-00d3155086ae"]}],"mendeley":{"formattedCitation":"(Ali 2015)","plainTextFormattedCitation":"(Ali 2015)","previouslyFormattedCitation":"(Ali 2015)"},"properties":{"noteIndex":0},"schema":"https://github.com/citation-style-language/schema/raw/master/csl-citation.json"}</w:instrText>
      </w:r>
      <w:r w:rsidR="000A2D89" w:rsidRPr="008D3831">
        <w:rPr>
          <w:lang w:val="id-ID"/>
        </w:rPr>
        <w:fldChar w:fldCharType="separate"/>
      </w:r>
      <w:r w:rsidR="00D22624" w:rsidRPr="008D3831">
        <w:rPr>
          <w:noProof/>
          <w:lang w:val="id-ID"/>
        </w:rPr>
        <w:t>(Ali 2015)</w:t>
      </w:r>
      <w:r w:rsidR="000A2D89" w:rsidRPr="008D3831">
        <w:rPr>
          <w:lang w:val="id-ID"/>
        </w:rPr>
        <w:fldChar w:fldCharType="end"/>
      </w:r>
      <w:r w:rsidRPr="008D3831">
        <w:rPr>
          <w:lang w:val="id-ID"/>
        </w:rPr>
        <w:t xml:space="preserve">. Dengan perkataan lain, menjelaskan undang-undang yang didasarkan pada perlawanan pengertian antara peristiwa konkrit yang dihadapi dan peristiwa yang diatur dalam undang-undang. </w:t>
      </w:r>
    </w:p>
    <w:p w14:paraId="6B5D1C3C" w14:textId="1BA67985" w:rsidR="00B75AA8" w:rsidRPr="008D3831" w:rsidRDefault="001F7AC1" w:rsidP="00D22624">
      <w:pPr>
        <w:ind w:right="27" w:firstLine="426"/>
        <w:contextualSpacing/>
        <w:jc w:val="both"/>
        <w:rPr>
          <w:rFonts w:eastAsia="Times New Roman"/>
          <w:lang w:val="id-ID"/>
        </w:rPr>
      </w:pPr>
      <w:r w:rsidRPr="008D3831">
        <w:rPr>
          <w:rFonts w:eastAsia="Times New Roman"/>
          <w:lang w:val="id-ID"/>
        </w:rPr>
        <w:t xml:space="preserve">Dengan mengatur suatu peristiwa tetapi peristiwa yang mirip lainnya tidak, maka untuk peristiwa yang tidak diatur ini berlaku hal yang kebalikannya. Pada </w:t>
      </w:r>
      <w:r w:rsidRPr="008D3831">
        <w:rPr>
          <w:rFonts w:eastAsia="Times New Roman"/>
          <w:i/>
          <w:lang w:val="id-ID"/>
        </w:rPr>
        <w:t>argumentum a contrario</w:t>
      </w:r>
      <w:r w:rsidRPr="008D3831">
        <w:rPr>
          <w:rFonts w:eastAsia="Times New Roman"/>
          <w:lang w:val="id-ID"/>
        </w:rPr>
        <w:t xml:space="preserve"> titik berat diletakkan pada ketidaksamaan peristiwa dan diperlakukan segi negatifnya atau kebalikan dari undang-undang. Pada hakikatnya penafsiran </w:t>
      </w:r>
      <w:r w:rsidRPr="008D3831">
        <w:rPr>
          <w:rFonts w:eastAsia="Times New Roman"/>
          <w:i/>
          <w:lang w:val="id-ID"/>
        </w:rPr>
        <w:t>argumentum a contrario</w:t>
      </w:r>
      <w:r w:rsidR="005A136C" w:rsidRPr="008D3831">
        <w:rPr>
          <w:rFonts w:eastAsia="Times New Roman"/>
          <w:lang w:val="id-ID"/>
        </w:rPr>
        <w:t xml:space="preserve"> sama dengan penafsiran analogi</w:t>
      </w:r>
      <w:r w:rsidRPr="008D3831">
        <w:rPr>
          <w:rFonts w:eastAsia="Times New Roman"/>
          <w:lang w:val="id-ID"/>
        </w:rPr>
        <w:t xml:space="preserve"> hanya hasilnya berlawanan. Analogi membawa hasil positif sedangkan penafsiran argumentum a contrario hasilnya negatif</w:t>
      </w:r>
      <w:r w:rsidR="000A2D89" w:rsidRPr="008D3831">
        <w:rPr>
          <w:rFonts w:eastAsia="Times New Roman"/>
          <w:lang w:val="id-ID"/>
        </w:rPr>
        <w:t xml:space="preserve"> </w:t>
      </w:r>
      <w:r w:rsidR="000A2D89" w:rsidRPr="008D3831">
        <w:rPr>
          <w:rFonts w:eastAsia="Times New Roman"/>
          <w:lang w:val="id-ID"/>
        </w:rPr>
        <w:fldChar w:fldCharType="begin" w:fldLock="1"/>
      </w:r>
      <w:r w:rsidR="00D22624" w:rsidRPr="008D3831">
        <w:rPr>
          <w:rFonts w:eastAsia="Times New Roman"/>
          <w:lang w:val="id-ID"/>
        </w:rPr>
        <w:instrText>ADDIN CSL_CITATION {"citationItems":[{"id":"ITEM-1","itemData":{"author":[{"dropping-particle":"","family":"Soeroso","given":"R.","non-dropping-particle":"","parse-names":false,"suffix":""}],"id":"ITEM-1","issued":{"date-parts":[["2015"]]},"publisher":"Sinar Grafika","publisher-place":"Jakarta","title":"Pengantar Ilmu Hukum","type":"book"},"uris":["http://www.mendeley.com/documents/?uuid=bc0d546c-3d83-4c6d-bfd8-4d5a281a8183"]}],"mendeley":{"formattedCitation":"(Soeroso 2015)","plainTextFormattedCitation":"(Soeroso 2015)","previouslyFormattedCitation":"(Soeroso 2015)"},"properties":{"noteIndex":0},"schema":"https://github.com/citation-style-language/schema/raw/master/csl-citation.json"}</w:instrText>
      </w:r>
      <w:r w:rsidR="000A2D89" w:rsidRPr="008D3831">
        <w:rPr>
          <w:rFonts w:eastAsia="Times New Roman"/>
          <w:lang w:val="id-ID"/>
        </w:rPr>
        <w:fldChar w:fldCharType="separate"/>
      </w:r>
      <w:r w:rsidR="00D22624" w:rsidRPr="008D3831">
        <w:rPr>
          <w:rFonts w:eastAsia="Times New Roman"/>
          <w:noProof/>
          <w:lang w:val="id-ID"/>
        </w:rPr>
        <w:t>(Soeroso 2015)</w:t>
      </w:r>
      <w:r w:rsidR="000A2D89" w:rsidRPr="008D3831">
        <w:rPr>
          <w:rFonts w:eastAsia="Times New Roman"/>
          <w:lang w:val="id-ID"/>
        </w:rPr>
        <w:fldChar w:fldCharType="end"/>
      </w:r>
      <w:r w:rsidRPr="008D3831">
        <w:rPr>
          <w:rFonts w:eastAsia="Times New Roman"/>
          <w:lang w:val="id-ID"/>
        </w:rPr>
        <w:t>.</w:t>
      </w:r>
    </w:p>
    <w:p w14:paraId="6E111D7C" w14:textId="76135141" w:rsidR="00AC2DBB" w:rsidRPr="008D3831" w:rsidRDefault="001F7AC1" w:rsidP="00D22624">
      <w:pPr>
        <w:ind w:right="27" w:firstLine="426"/>
        <w:contextualSpacing/>
        <w:jc w:val="both"/>
        <w:rPr>
          <w:rFonts w:eastAsia="Times New Roman"/>
          <w:lang w:val="id-ID"/>
        </w:rPr>
      </w:pPr>
      <w:r w:rsidRPr="008D3831">
        <w:rPr>
          <w:rFonts w:eastAsia="Times New Roman"/>
          <w:lang w:val="id-ID"/>
        </w:rPr>
        <w:t xml:space="preserve">Penafsiran berdasarkan </w:t>
      </w:r>
      <w:r w:rsidRPr="008D3831">
        <w:rPr>
          <w:rFonts w:eastAsia="Times New Roman"/>
          <w:i/>
          <w:lang w:val="id-ID"/>
        </w:rPr>
        <w:t>argumentum a contrario</w:t>
      </w:r>
      <w:r w:rsidRPr="008D3831">
        <w:rPr>
          <w:rFonts w:eastAsia="Times New Roman"/>
          <w:lang w:val="id-ID"/>
        </w:rPr>
        <w:t xml:space="preserve"> mempersempit perumusan hukum atau perundang-undangan. Tujuannya ialah untuk lebih mempertegas adanya kepastian hukum sehingga tidak menimbulkan keraguan. </w:t>
      </w:r>
      <w:r w:rsidRPr="008D3831">
        <w:rPr>
          <w:rFonts w:eastAsia="Times New Roman"/>
          <w:i/>
          <w:lang w:val="id-ID"/>
        </w:rPr>
        <w:t>Argumentum a contrario</w:t>
      </w:r>
      <w:r w:rsidRPr="008D3831">
        <w:rPr>
          <w:rFonts w:eastAsia="Times New Roman"/>
          <w:lang w:val="id-ID"/>
        </w:rPr>
        <w:t xml:space="preserve"> diterapkan sewaktu </w:t>
      </w:r>
      <w:r w:rsidR="005061F6" w:rsidRPr="008D3831">
        <w:rPr>
          <w:rFonts w:eastAsia="Times New Roman"/>
          <w:lang w:val="id-ID"/>
        </w:rPr>
        <w:t>Pasal</w:t>
      </w:r>
      <w:r w:rsidRPr="008D3831">
        <w:rPr>
          <w:rFonts w:eastAsia="Times New Roman"/>
          <w:lang w:val="id-ID"/>
        </w:rPr>
        <w:t xml:space="preserve"> dalam peraturan perundang-undangan tidak menyebut masalah yang dihadapi</w:t>
      </w:r>
      <w:r w:rsidR="000A2D89" w:rsidRPr="008D3831">
        <w:rPr>
          <w:rFonts w:eastAsia="Times New Roman"/>
          <w:lang w:val="id-ID"/>
        </w:rPr>
        <w:t xml:space="preserve"> </w:t>
      </w:r>
      <w:r w:rsidR="000A2D89" w:rsidRPr="008D3831">
        <w:rPr>
          <w:rFonts w:eastAsia="Times New Roman"/>
          <w:lang w:val="id-ID"/>
        </w:rPr>
        <w:fldChar w:fldCharType="begin" w:fldLock="1"/>
      </w:r>
      <w:r w:rsidR="00D22624" w:rsidRPr="008D3831">
        <w:rPr>
          <w:rFonts w:eastAsia="Times New Roman"/>
          <w:lang w:val="id-ID"/>
        </w:rPr>
        <w:instrText>ADDIN CSL_CITATION {"citationItems":[{"id":"ITEM-1","itemData":{"author":[{"dropping-particle":"","family":"Soeroso","given":"R.","non-dropping-particle":"","parse-names":false,"suffix":""}],"id":"ITEM-1","issued":{"date-parts":[["2015"]]},"publisher":"Sinar Grafika","publisher-place":"Jakarta","title":"Pengantar Ilmu Hukum","type":"book"},"uris":["http://www.mendeley.com/documents/?uuid=bc0d546c-3d83-4c6d-bfd8-4d5a281a8183"]}],"mendeley":{"formattedCitation":"(Soeroso 2015)","plainTextFormattedCitation":"(Soeroso 2015)","previouslyFormattedCitation":"(Soeroso 2015)"},"properties":{"noteIndex":0},"schema":"https://github.com/citation-style-language/schema/raw/master/csl-citation.json"}</w:instrText>
      </w:r>
      <w:r w:rsidR="000A2D89" w:rsidRPr="008D3831">
        <w:rPr>
          <w:rFonts w:eastAsia="Times New Roman"/>
          <w:lang w:val="id-ID"/>
        </w:rPr>
        <w:fldChar w:fldCharType="separate"/>
      </w:r>
      <w:r w:rsidR="00D22624" w:rsidRPr="008D3831">
        <w:rPr>
          <w:rFonts w:eastAsia="Times New Roman"/>
          <w:noProof/>
          <w:lang w:val="id-ID"/>
        </w:rPr>
        <w:t>(Soeroso 2015)</w:t>
      </w:r>
      <w:r w:rsidR="000A2D89" w:rsidRPr="008D3831">
        <w:rPr>
          <w:rFonts w:eastAsia="Times New Roman"/>
          <w:lang w:val="id-ID"/>
        </w:rPr>
        <w:fldChar w:fldCharType="end"/>
      </w:r>
      <w:r w:rsidRPr="008D3831">
        <w:rPr>
          <w:rFonts w:eastAsia="Times New Roman"/>
          <w:lang w:val="id-ID"/>
        </w:rPr>
        <w:t>.</w:t>
      </w:r>
    </w:p>
    <w:p w14:paraId="21A50945" w14:textId="77777777" w:rsidR="00AC2DBB" w:rsidRPr="008D3831" w:rsidRDefault="001F7AC1" w:rsidP="0048135E">
      <w:pPr>
        <w:spacing w:line="276" w:lineRule="auto"/>
        <w:ind w:right="27" w:firstLine="426"/>
        <w:contextualSpacing/>
        <w:jc w:val="both"/>
        <w:rPr>
          <w:rFonts w:eastAsia="Times New Roman"/>
          <w:lang w:val="id-ID"/>
        </w:rPr>
      </w:pPr>
      <w:r w:rsidRPr="008D3831">
        <w:rPr>
          <w:rFonts w:eastAsia="Times New Roman"/>
          <w:lang w:val="id-ID"/>
        </w:rPr>
        <w:t xml:space="preserve">Isi dari </w:t>
      </w:r>
      <w:r w:rsidR="005061F6" w:rsidRPr="008D3831">
        <w:rPr>
          <w:rFonts w:eastAsia="Times New Roman"/>
          <w:lang w:val="id-ID"/>
        </w:rPr>
        <w:t>Pasal</w:t>
      </w:r>
      <w:r w:rsidRPr="008D3831">
        <w:rPr>
          <w:rFonts w:eastAsia="Times New Roman"/>
          <w:lang w:val="id-ID"/>
        </w:rPr>
        <w:t xml:space="preserve"> 81 ayat (1) &amp; (2) Undang-Undang Nomor 23 Tahun 2002 tentang Perlindungan Anak hanya mengatur tentang perlindungan terhadap anak, anak yang berhadapan dengan hukum, anak sebagai saksi, dan anak sebagai korban. Undang-Undang Nomor 23 Tahun 2002 tentang Perlindungan Anak tersebut sama sekali tidak menyebutkan bahwa hal-hal yang diatur dalam Undang-Undang tersebut dapat digunakan juga apabila korbannya orang dewasa.</w:t>
      </w:r>
    </w:p>
    <w:p w14:paraId="53617335" w14:textId="77777777" w:rsidR="00AC2DBB" w:rsidRPr="008D3831" w:rsidRDefault="001F7AC1" w:rsidP="0048135E">
      <w:pPr>
        <w:spacing w:line="276" w:lineRule="auto"/>
        <w:ind w:right="27" w:firstLine="426"/>
        <w:contextualSpacing/>
        <w:jc w:val="both"/>
        <w:rPr>
          <w:rFonts w:eastAsia="Times New Roman"/>
          <w:lang w:val="id-ID"/>
        </w:rPr>
      </w:pPr>
      <w:r w:rsidRPr="008D3831">
        <w:rPr>
          <w:rFonts w:eastAsia="Times New Roman"/>
          <w:i/>
          <w:lang w:val="id-ID"/>
        </w:rPr>
        <w:t>Argumentum a contrario</w:t>
      </w:r>
      <w:r w:rsidRPr="008D3831">
        <w:rPr>
          <w:rFonts w:eastAsia="Times New Roman"/>
          <w:lang w:val="id-ID"/>
        </w:rPr>
        <w:t xml:space="preserve"> mempersempit berlakunya ketentuan undang-undang, maka </w:t>
      </w:r>
      <w:r w:rsidR="005061F6" w:rsidRPr="008D3831">
        <w:rPr>
          <w:rFonts w:eastAsia="Times New Roman"/>
          <w:lang w:val="id-ID"/>
        </w:rPr>
        <w:t>Pasal</w:t>
      </w:r>
      <w:r w:rsidRPr="008D3831">
        <w:rPr>
          <w:rFonts w:eastAsia="Times New Roman"/>
          <w:lang w:val="id-ID"/>
        </w:rPr>
        <w:t xml:space="preserve"> 81 ayat (1) &amp; (2) Undang-Undang Nomor 23 Tahun 2002 tentang Perlindungan Anak hanya berlaku jika korban tindak </w:t>
      </w:r>
      <w:r w:rsidRPr="008D3831">
        <w:rPr>
          <w:rFonts w:eastAsia="Times New Roman"/>
          <w:lang w:val="id-ID"/>
        </w:rPr>
        <w:lastRenderedPageBreak/>
        <w:t xml:space="preserve">pidana perkosaan adalah anak. Dapat dikatakan bahwa ketentuan ini tidak berlaku bagi tindak pidana perkosaan yang korbannya bukan anak, karena soal yang dihadapi tidak diliputi oleh </w:t>
      </w:r>
      <w:r w:rsidR="005061F6" w:rsidRPr="008D3831">
        <w:rPr>
          <w:rFonts w:eastAsia="Times New Roman"/>
          <w:lang w:val="id-ID"/>
        </w:rPr>
        <w:t>Pasal</w:t>
      </w:r>
      <w:r w:rsidRPr="008D3831">
        <w:rPr>
          <w:rFonts w:eastAsia="Times New Roman"/>
          <w:lang w:val="id-ID"/>
        </w:rPr>
        <w:t xml:space="preserve"> tersebut. </w:t>
      </w:r>
    </w:p>
    <w:p w14:paraId="5C8D9B9B" w14:textId="77777777" w:rsidR="005761E2" w:rsidRPr="008D3831" w:rsidRDefault="005761E2" w:rsidP="0048135E">
      <w:pPr>
        <w:pStyle w:val="ListParagraph"/>
        <w:numPr>
          <w:ilvl w:val="0"/>
          <w:numId w:val="13"/>
        </w:numPr>
        <w:spacing w:line="276" w:lineRule="auto"/>
        <w:jc w:val="both"/>
        <w:rPr>
          <w:vanish/>
          <w:lang w:val="id-ID"/>
        </w:rPr>
      </w:pPr>
    </w:p>
    <w:p w14:paraId="3F9783F7" w14:textId="77777777" w:rsidR="005761E2" w:rsidRPr="008D3831" w:rsidRDefault="00D14E27" w:rsidP="0048135E">
      <w:pPr>
        <w:pStyle w:val="ListParagraph"/>
        <w:numPr>
          <w:ilvl w:val="0"/>
          <w:numId w:val="13"/>
        </w:numPr>
        <w:spacing w:line="276" w:lineRule="auto"/>
        <w:ind w:left="426"/>
        <w:jc w:val="both"/>
        <w:rPr>
          <w:b/>
          <w:lang w:val="id-ID"/>
        </w:rPr>
      </w:pPr>
      <w:r w:rsidRPr="008D3831">
        <w:rPr>
          <w:b/>
        </w:rPr>
        <w:t xml:space="preserve">Penggunaan Bujuk Rayu </w:t>
      </w:r>
      <w:r w:rsidR="007A3F97" w:rsidRPr="008D3831">
        <w:rPr>
          <w:b/>
        </w:rPr>
        <w:t>Pada Orang Dewasa Bertentangan Dengan T</w:t>
      </w:r>
      <w:r w:rsidR="007A3F97" w:rsidRPr="008D3831">
        <w:rPr>
          <w:b/>
          <w:lang w:val="id-ID"/>
        </w:rPr>
        <w:t xml:space="preserve">ujuan Utama Dari </w:t>
      </w:r>
      <w:r w:rsidR="005761E2" w:rsidRPr="008D3831">
        <w:rPr>
          <w:b/>
          <w:lang w:val="id-ID"/>
        </w:rPr>
        <w:t>Undang</w:t>
      </w:r>
      <w:r w:rsidR="007A3F97" w:rsidRPr="008D3831">
        <w:rPr>
          <w:b/>
          <w:lang w:val="id-ID"/>
        </w:rPr>
        <w:t>-</w:t>
      </w:r>
      <w:r w:rsidR="005761E2" w:rsidRPr="008D3831">
        <w:rPr>
          <w:b/>
          <w:lang w:val="id-ID"/>
        </w:rPr>
        <w:t xml:space="preserve">Undang Perlindungan </w:t>
      </w:r>
      <w:r w:rsidR="005761E2" w:rsidRPr="008D3831">
        <w:rPr>
          <w:b/>
        </w:rPr>
        <w:t>A</w:t>
      </w:r>
      <w:r w:rsidR="005761E2" w:rsidRPr="008D3831">
        <w:rPr>
          <w:b/>
          <w:lang w:val="id-ID"/>
        </w:rPr>
        <w:t>nak</w:t>
      </w:r>
    </w:p>
    <w:p w14:paraId="32AE81D5" w14:textId="75E34993" w:rsidR="005761E2" w:rsidRPr="008D3831" w:rsidRDefault="005761E2" w:rsidP="00D22624">
      <w:pPr>
        <w:ind w:right="27" w:firstLine="426"/>
        <w:contextualSpacing/>
        <w:jc w:val="both"/>
        <w:rPr>
          <w:rFonts w:eastAsia="Times New Roman"/>
          <w:lang w:val="id-ID"/>
        </w:rPr>
      </w:pPr>
      <w:r w:rsidRPr="008D3831">
        <w:rPr>
          <w:rFonts w:eastAsia="Times New Roman"/>
          <w:lang w:val="id-ID"/>
        </w:rPr>
        <w:t>Tujuan utama d</w:t>
      </w:r>
      <w:r w:rsidR="007A3F97" w:rsidRPr="008D3831">
        <w:rPr>
          <w:rFonts w:eastAsia="Times New Roman"/>
          <w:lang w:val="id-ID"/>
        </w:rPr>
        <w:t>ari Undang-Undang Perlindungan A</w:t>
      </w:r>
      <w:r w:rsidRPr="008D3831">
        <w:rPr>
          <w:rFonts w:eastAsia="Times New Roman"/>
          <w:lang w:val="id-ID"/>
        </w:rPr>
        <w:t>nak adalah untuk menjamin dan melindungi Anak dan hak-haknya agar dapat hidup, tumbuh, berkembang, dan berpartisipasi secara optimal sesuai dengan harkat dan martabat kemanusiaan, serta mendapat perlindungan</w:t>
      </w:r>
      <w:r w:rsidR="00D22624" w:rsidRPr="008D3831">
        <w:rPr>
          <w:rFonts w:eastAsia="Times New Roman"/>
          <w:lang w:val="id-ID"/>
        </w:rPr>
        <w:t xml:space="preserve"> dari kekerasan dan diskriminas</w:t>
      </w:r>
      <w:r w:rsidR="00D22624" w:rsidRPr="008D3831">
        <w:rPr>
          <w:rFonts w:eastAsia="Times New Roman"/>
        </w:rPr>
        <w:t>i</w:t>
      </w:r>
      <w:r w:rsidRPr="008D3831">
        <w:rPr>
          <w:rFonts w:eastAsia="Times New Roman"/>
          <w:lang w:val="id-ID"/>
        </w:rPr>
        <w:t>. Secara teoritik, anak-anak Indonesia dijamin dalam mejalani hidupnya</w:t>
      </w:r>
      <w:r w:rsidR="00D22624" w:rsidRPr="008D3831">
        <w:rPr>
          <w:rFonts w:eastAsia="Times New Roman"/>
          <w:lang w:val="id-ID"/>
        </w:rPr>
        <w:fldChar w:fldCharType="begin" w:fldLock="1"/>
      </w:r>
      <w:r w:rsidR="00D22624" w:rsidRPr="008D3831">
        <w:rPr>
          <w:rFonts w:eastAsia="Times New Roman"/>
          <w:lang w:val="id-ID"/>
        </w:rPr>
        <w:instrText>ADDIN CSL_CITATION {"citationItems":[{"id":"ITEM-1","itemData":{"author":[{"dropping-particle":"","family":"Marlina","given":"","non-dropping-particle":"","parse-names":false,"suffix":""}],"id":"ITEM-1","issued":{"date-parts":[["2009"]]},"publisher":"Refika Aditama","publisher-place":"Bandung","title":"Peradilan Pidana Anak di Indonesia","type":"book"},"uris":["http://www.mendeley.com/documents/?uuid=3ba8c905-fb99-4854-9e1b-e106bcc168a1"]}],"mendeley":{"formattedCitation":"(Marlina 2009)","plainTextFormattedCitation":"(Marlina 2009)","previouslyFormattedCitation":"(Marlina 2009)"},"properties":{"noteIndex":0},"schema":"https://github.com/citation-style-language/schema/raw/master/csl-citation.json"}</w:instrText>
      </w:r>
      <w:r w:rsidR="00D22624" w:rsidRPr="008D3831">
        <w:rPr>
          <w:rFonts w:eastAsia="Times New Roman"/>
          <w:lang w:val="id-ID"/>
        </w:rPr>
        <w:fldChar w:fldCharType="separate"/>
      </w:r>
      <w:r w:rsidR="00D22624" w:rsidRPr="008D3831">
        <w:rPr>
          <w:rFonts w:eastAsia="Times New Roman"/>
          <w:noProof/>
          <w:lang w:val="id-ID"/>
        </w:rPr>
        <w:t>(Marlina 2009)</w:t>
      </w:r>
      <w:r w:rsidR="00D22624" w:rsidRPr="008D3831">
        <w:rPr>
          <w:rFonts w:eastAsia="Times New Roman"/>
          <w:lang w:val="id-ID"/>
        </w:rPr>
        <w:fldChar w:fldCharType="end"/>
      </w:r>
      <w:r w:rsidRPr="008D3831">
        <w:rPr>
          <w:rFonts w:eastAsia="Times New Roman"/>
          <w:lang w:val="id-ID"/>
        </w:rPr>
        <w:t xml:space="preserve">. </w:t>
      </w:r>
    </w:p>
    <w:p w14:paraId="6BB79FD1" w14:textId="6B60E084" w:rsidR="00AC2DBB" w:rsidRPr="008D3831" w:rsidRDefault="005761E2" w:rsidP="0048135E">
      <w:pPr>
        <w:spacing w:line="276" w:lineRule="auto"/>
        <w:ind w:right="27" w:firstLine="426"/>
        <w:contextualSpacing/>
        <w:jc w:val="both"/>
      </w:pPr>
      <w:r w:rsidRPr="008D3831">
        <w:rPr>
          <w:rFonts w:eastAsia="Times New Roman"/>
          <w:lang w:val="id-ID"/>
        </w:rPr>
        <w:t>Marlina menyatakan “Masalah perlindungan hukum bagi anak merupakan salah satu cara melindungi tunas bangsa di masa depan, perlindungan hukum terhadap anak menyangkut semua aturan yang berlaku. Perlindungan ini perlu karena an</w:t>
      </w:r>
      <w:r w:rsidRPr="008D3831">
        <w:rPr>
          <w:lang w:val="id-ID"/>
        </w:rPr>
        <w:t>ak merupakan bagian dari masyarakat yang mempunyai keterbatasan secara fisik dan mental. Oleh karena itu memerlukan perlindungan dan perawatan khusus</w:t>
      </w:r>
      <w:r w:rsidR="0075703E" w:rsidRPr="008D3831">
        <w:rPr>
          <w:lang w:val="id-ID"/>
        </w:rPr>
        <w:fldChar w:fldCharType="begin" w:fldLock="1"/>
      </w:r>
      <w:r w:rsidR="00D22624" w:rsidRPr="008D3831">
        <w:rPr>
          <w:lang w:val="id-ID"/>
        </w:rPr>
        <w:instrText>ADDIN CSL_CITATION {"citationItems":[{"id":"ITEM-1","itemData":{"author":[{"dropping-particle":"","family":"Marlina","given":"","non-dropping-particle":"","parse-names":false,"suffix":""}],"id":"ITEM-1","issued":{"date-parts":[["2009"]]},"publisher":"Refika Aditama","publisher-place":"Bandung","title":"Peradilan Pidana Anak di Indonesia","type":"book"},"uris":["http://www.mendeley.com/documents/?uuid=3ba8c905-fb99-4854-9e1b-e106bcc168a1"]}],"mendeley":{"formattedCitation":"(Marlina 2009)","plainTextFormattedCitation":"(Marlina 2009)","previouslyFormattedCitation":"(Marlina 2009)"},"properties":{"noteIndex":0},"schema":"https://github.com/citation-style-language/schema/raw/master/csl-citation.json"}</w:instrText>
      </w:r>
      <w:r w:rsidR="0075703E" w:rsidRPr="008D3831">
        <w:rPr>
          <w:lang w:val="id-ID"/>
        </w:rPr>
        <w:fldChar w:fldCharType="separate"/>
      </w:r>
      <w:r w:rsidR="00D22624" w:rsidRPr="008D3831">
        <w:rPr>
          <w:noProof/>
          <w:lang w:val="id-ID"/>
        </w:rPr>
        <w:t>(Marlina 2009)</w:t>
      </w:r>
      <w:r w:rsidR="0075703E" w:rsidRPr="008D3831">
        <w:rPr>
          <w:lang w:val="id-ID"/>
        </w:rPr>
        <w:fldChar w:fldCharType="end"/>
      </w:r>
      <w:r w:rsidRPr="008D3831">
        <w:rPr>
          <w:lang w:val="id-ID"/>
        </w:rPr>
        <w:t>.</w:t>
      </w:r>
    </w:p>
    <w:p w14:paraId="7E7B1427" w14:textId="77777777" w:rsidR="00D14E27" w:rsidRPr="008D3831" w:rsidRDefault="00D14E27" w:rsidP="0048135E">
      <w:pPr>
        <w:spacing w:line="276" w:lineRule="auto"/>
        <w:ind w:right="27" w:firstLine="426"/>
        <w:contextualSpacing/>
        <w:jc w:val="both"/>
      </w:pPr>
      <w:r w:rsidRPr="008D3831">
        <w:t xml:space="preserve">Bujuk </w:t>
      </w:r>
      <w:r w:rsidRPr="008D3831">
        <w:rPr>
          <w:lang w:val="id-ID"/>
        </w:rPr>
        <w:t xml:space="preserve">rayu yang terdapat dalam Undang-Undang Nomor 23 Tahun 2002 tentang Perlindungan Anak tidak dapat digunakan pada korban yang merupakan orang dewasa. Hal ini dikarenakan beberapa alasan yaitu: pertama, bertentangan dengan asas legalitas; kedua, bertentangan dengan </w:t>
      </w:r>
      <w:r w:rsidRPr="008D3831">
        <w:rPr>
          <w:i/>
          <w:lang w:val="id-ID"/>
        </w:rPr>
        <w:t>argumentum a contrario</w:t>
      </w:r>
      <w:r w:rsidRPr="008D3831">
        <w:rPr>
          <w:lang w:val="id-ID"/>
        </w:rPr>
        <w:t xml:space="preserve"> karena pada </w:t>
      </w:r>
      <w:r w:rsidR="005061F6" w:rsidRPr="008D3831">
        <w:rPr>
          <w:lang w:val="id-ID"/>
        </w:rPr>
        <w:t>Pasal</w:t>
      </w:r>
      <w:r w:rsidRPr="008D3831">
        <w:rPr>
          <w:lang w:val="id-ID"/>
        </w:rPr>
        <w:t xml:space="preserve"> 81 Undang-Undang Nomor 23 Tahun 2002 tentang Perlindungan Anak hanya mengatur tentang tindak perkosaan terhadap anak maka berlakulah kebalikannya yakni tidak dapat digunakan pada korban yang merupakan orang dewasa. Ketiga, penggunaan bujuk rayu dalam </w:t>
      </w:r>
      <w:r w:rsidR="005061F6" w:rsidRPr="008D3831">
        <w:rPr>
          <w:lang w:val="id-ID"/>
        </w:rPr>
        <w:t>Pasal</w:t>
      </w:r>
      <w:r w:rsidRPr="008D3831">
        <w:rPr>
          <w:lang w:val="id-ID"/>
        </w:rPr>
        <w:t xml:space="preserve"> 81 Undang-Undang Nomor 23 Tahun 2002 tentang Perlindungan Anak hanya berlaku untuk tindak pidana perkosaan terhadap anak, mengingat tujuan utama dari dibuatnya Undang-Undang Perlindungan Anak.</w:t>
      </w:r>
    </w:p>
    <w:p w14:paraId="52C1067E" w14:textId="77777777" w:rsidR="0075703E" w:rsidRPr="008D3831" w:rsidRDefault="0075703E" w:rsidP="0048135E">
      <w:pPr>
        <w:pStyle w:val="Heading2"/>
        <w:spacing w:line="276" w:lineRule="auto"/>
        <w:ind w:left="0" w:firstLine="0"/>
        <w:rPr>
          <w:rFonts w:ascii="Times New Roman" w:hAnsi="Times New Roman"/>
          <w:sz w:val="20"/>
          <w:szCs w:val="20"/>
          <w:lang w:val="id-ID"/>
        </w:rPr>
      </w:pPr>
    </w:p>
    <w:p w14:paraId="5222E005" w14:textId="77777777" w:rsidR="00AC2DBB" w:rsidRPr="008D3831" w:rsidRDefault="00B549CB" w:rsidP="0048135E">
      <w:pPr>
        <w:pStyle w:val="Heading2"/>
        <w:spacing w:line="276" w:lineRule="auto"/>
        <w:ind w:left="0" w:firstLine="0"/>
        <w:rPr>
          <w:rFonts w:ascii="Times New Roman" w:hAnsi="Times New Roman"/>
          <w:sz w:val="20"/>
          <w:szCs w:val="20"/>
          <w:lang w:val="id-ID"/>
        </w:rPr>
      </w:pPr>
      <w:r w:rsidRPr="008D3831">
        <w:rPr>
          <w:rFonts w:ascii="Times New Roman" w:hAnsi="Times New Roman"/>
          <w:sz w:val="20"/>
          <w:szCs w:val="20"/>
          <w:lang w:val="id-ID"/>
        </w:rPr>
        <w:t xml:space="preserve">Ketepatan </w:t>
      </w:r>
      <w:r w:rsidR="007A3F97" w:rsidRPr="008D3831">
        <w:rPr>
          <w:rFonts w:ascii="Times New Roman" w:hAnsi="Times New Roman"/>
          <w:sz w:val="20"/>
          <w:szCs w:val="20"/>
          <w:lang w:val="id-ID"/>
        </w:rPr>
        <w:t xml:space="preserve">Perluasan Makna Frase “Bujuk Rayu” Pada Putusan Hakim </w:t>
      </w:r>
      <w:r w:rsidRPr="008D3831">
        <w:rPr>
          <w:rFonts w:ascii="Times New Roman" w:hAnsi="Times New Roman"/>
          <w:sz w:val="20"/>
          <w:szCs w:val="20"/>
          <w:lang w:val="id-ID"/>
        </w:rPr>
        <w:t xml:space="preserve">Pengadilan Tinggi Bengkulu Nomor </w:t>
      </w:r>
      <w:r w:rsidR="007A3F97" w:rsidRPr="008D3831">
        <w:rPr>
          <w:rFonts w:ascii="Times New Roman" w:hAnsi="Times New Roman"/>
          <w:sz w:val="20"/>
          <w:szCs w:val="20"/>
          <w:lang w:val="id-ID"/>
        </w:rPr>
        <w:t>12/</w:t>
      </w:r>
      <w:r w:rsidRPr="008D3831">
        <w:rPr>
          <w:rFonts w:ascii="Times New Roman" w:hAnsi="Times New Roman"/>
          <w:sz w:val="20"/>
          <w:szCs w:val="20"/>
          <w:lang w:val="id-ID"/>
        </w:rPr>
        <w:t>PID</w:t>
      </w:r>
      <w:r w:rsidR="007A3F97" w:rsidRPr="008D3831">
        <w:rPr>
          <w:rFonts w:ascii="Times New Roman" w:hAnsi="Times New Roman"/>
          <w:sz w:val="20"/>
          <w:szCs w:val="20"/>
          <w:lang w:val="id-ID"/>
        </w:rPr>
        <w:t>/2015/</w:t>
      </w:r>
      <w:r w:rsidRPr="008D3831">
        <w:rPr>
          <w:rFonts w:ascii="Times New Roman" w:hAnsi="Times New Roman"/>
          <w:sz w:val="20"/>
          <w:szCs w:val="20"/>
          <w:lang w:val="id-ID"/>
        </w:rPr>
        <w:t>PT</w:t>
      </w:r>
      <w:r w:rsidR="007A3F97" w:rsidRPr="008D3831">
        <w:rPr>
          <w:rFonts w:ascii="Times New Roman" w:hAnsi="Times New Roman"/>
          <w:sz w:val="20"/>
          <w:szCs w:val="20"/>
          <w:lang w:val="id-ID"/>
        </w:rPr>
        <w:t>.</w:t>
      </w:r>
      <w:r w:rsidRPr="008D3831">
        <w:rPr>
          <w:rFonts w:ascii="Times New Roman" w:hAnsi="Times New Roman"/>
          <w:sz w:val="20"/>
          <w:szCs w:val="20"/>
          <w:lang w:val="id-ID"/>
        </w:rPr>
        <w:t xml:space="preserve">BGL </w:t>
      </w:r>
      <w:r w:rsidR="007A3F97" w:rsidRPr="008D3831">
        <w:rPr>
          <w:rFonts w:ascii="Times New Roman" w:hAnsi="Times New Roman"/>
          <w:sz w:val="20"/>
          <w:szCs w:val="20"/>
          <w:lang w:val="id-ID"/>
        </w:rPr>
        <w:t xml:space="preserve">Sebagai Unsur Memaksa Dalam </w:t>
      </w:r>
      <w:r w:rsidR="005061F6" w:rsidRPr="008D3831">
        <w:rPr>
          <w:rFonts w:ascii="Times New Roman" w:hAnsi="Times New Roman"/>
          <w:sz w:val="20"/>
          <w:szCs w:val="20"/>
          <w:lang w:val="id-ID"/>
        </w:rPr>
        <w:t>Pasal</w:t>
      </w:r>
      <w:r w:rsidR="007A3F97" w:rsidRPr="008D3831">
        <w:rPr>
          <w:rFonts w:ascii="Times New Roman" w:hAnsi="Times New Roman"/>
          <w:sz w:val="20"/>
          <w:szCs w:val="20"/>
          <w:lang w:val="id-ID"/>
        </w:rPr>
        <w:t xml:space="preserve"> 285 KUHP</w:t>
      </w:r>
    </w:p>
    <w:p w14:paraId="1EF90E43" w14:textId="77777777" w:rsidR="00AC2DBB" w:rsidRPr="008D3831" w:rsidRDefault="00130617" w:rsidP="0048135E">
      <w:pPr>
        <w:spacing w:line="276" w:lineRule="auto"/>
        <w:ind w:right="27" w:firstLine="426"/>
        <w:contextualSpacing/>
        <w:jc w:val="both"/>
        <w:rPr>
          <w:rFonts w:eastAsia="Times New Roman"/>
          <w:lang w:val="id-ID"/>
        </w:rPr>
      </w:pPr>
      <w:r w:rsidRPr="008D3831">
        <w:rPr>
          <w:rFonts w:eastAsia="Times New Roman"/>
          <w:lang w:val="id-ID"/>
        </w:rPr>
        <w:t>Dalam Putusan Pengadilan Tinggi Bengkulu 12/PID/2015/PT.BGL, Majelis Hakim tingkat banding menyimpulkan bahwa bujuk rayu merupakan</w:t>
      </w:r>
      <w:r w:rsidR="00B75AA8" w:rsidRPr="008D3831">
        <w:rPr>
          <w:rFonts w:eastAsia="Times New Roman"/>
          <w:lang w:val="id-ID"/>
        </w:rPr>
        <w:t xml:space="preserve"> perluasan dari</w:t>
      </w:r>
      <w:r w:rsidRPr="008D3831">
        <w:rPr>
          <w:rFonts w:eastAsia="Times New Roman"/>
          <w:lang w:val="id-ID"/>
        </w:rPr>
        <w:t xml:space="preserve"> unsur memaksa dalam </w:t>
      </w:r>
      <w:r w:rsidR="005061F6" w:rsidRPr="008D3831">
        <w:rPr>
          <w:rFonts w:eastAsia="Times New Roman"/>
          <w:lang w:val="id-ID"/>
        </w:rPr>
        <w:t>Pasal</w:t>
      </w:r>
      <w:r w:rsidRPr="008D3831">
        <w:rPr>
          <w:rFonts w:eastAsia="Times New Roman"/>
          <w:lang w:val="id-ID"/>
        </w:rPr>
        <w:t xml:space="preserve"> 285 KUHP</w:t>
      </w:r>
      <w:r w:rsidR="00B75AA8" w:rsidRPr="008D3831">
        <w:rPr>
          <w:rFonts w:eastAsia="Times New Roman"/>
          <w:lang w:val="id-ID"/>
        </w:rPr>
        <w:t xml:space="preserve">. </w:t>
      </w:r>
      <w:r w:rsidR="003F71BF" w:rsidRPr="008D3831">
        <w:rPr>
          <w:rFonts w:eastAsia="Times New Roman"/>
          <w:lang w:val="id-ID"/>
        </w:rPr>
        <w:t>Akan tetapi, pendapat majelis hakim tersebut dianggap kurang tepat, karena bujuk rayu seharusnya tidak ada kaitannya dengan unsur memaksa.</w:t>
      </w:r>
    </w:p>
    <w:p w14:paraId="53A4F023" w14:textId="55A71598" w:rsidR="00B75AA8" w:rsidRPr="008D3831" w:rsidRDefault="003F71BF" w:rsidP="0048135E">
      <w:pPr>
        <w:spacing w:line="276" w:lineRule="auto"/>
        <w:ind w:right="27" w:firstLine="426"/>
        <w:contextualSpacing/>
        <w:jc w:val="both"/>
        <w:rPr>
          <w:rFonts w:eastAsia="Times New Roman"/>
          <w:lang w:val="id-ID"/>
        </w:rPr>
      </w:pPr>
      <w:r w:rsidRPr="008D3831">
        <w:rPr>
          <w:rFonts w:eastAsia="Times New Roman"/>
          <w:lang w:val="id-ID"/>
        </w:rPr>
        <w:t>Berdasarkan</w:t>
      </w:r>
      <w:r w:rsidR="00B75AA8" w:rsidRPr="008D3831">
        <w:rPr>
          <w:rFonts w:eastAsia="Times New Roman"/>
          <w:lang w:val="id-ID"/>
        </w:rPr>
        <w:t xml:space="preserve"> penafsiran </w:t>
      </w:r>
      <w:r w:rsidRPr="008D3831">
        <w:rPr>
          <w:rFonts w:eastAsia="Times New Roman"/>
          <w:lang w:val="id-ID"/>
        </w:rPr>
        <w:t>gramatikal akan di</w:t>
      </w:r>
      <w:r w:rsidR="00B75AA8" w:rsidRPr="008D3831">
        <w:rPr>
          <w:rFonts w:eastAsia="Times New Roman"/>
          <w:lang w:val="id-ID"/>
        </w:rPr>
        <w:t xml:space="preserve">bahas arti dan konsep dari kekerasan, ancaman kekerasan, perbuatan memaksa, dan bujuk rayu. Menurut Kamus </w:t>
      </w:r>
      <w:r w:rsidR="00B75AA8" w:rsidRPr="008D3831">
        <w:rPr>
          <w:rFonts w:eastAsia="Times New Roman"/>
          <w:lang w:val="id-ID"/>
        </w:rPr>
        <w:lastRenderedPageBreak/>
        <w:t xml:space="preserve">besar Bahasa Indonesia </w:t>
      </w:r>
      <w:r w:rsidR="00D14E27" w:rsidRPr="008D3831">
        <w:rPr>
          <w:rFonts w:eastAsia="Times New Roman"/>
          <w:lang w:val="id-ID"/>
        </w:rPr>
        <w:t>“</w:t>
      </w:r>
      <w:r w:rsidR="00B75AA8" w:rsidRPr="008D3831">
        <w:rPr>
          <w:rFonts w:eastAsia="Times New Roman"/>
          <w:lang w:val="id-ID"/>
        </w:rPr>
        <w:t>kekerasan</w:t>
      </w:r>
      <w:r w:rsidR="00D14E27" w:rsidRPr="008D3831">
        <w:rPr>
          <w:rFonts w:eastAsia="Times New Roman"/>
          <w:lang w:val="id-ID"/>
        </w:rPr>
        <w:t>”</w:t>
      </w:r>
      <w:r w:rsidR="00B75AA8" w:rsidRPr="008D3831">
        <w:rPr>
          <w:rFonts w:eastAsia="Times New Roman"/>
          <w:lang w:val="id-ID"/>
        </w:rPr>
        <w:t xml:space="preserve"> dapat diartikan sebagai: perihal (yang bersifat, berciri) keras; perbuatan seseorang atau kelompok orang yang menyebabkan cedera atau matinya orang lain atau menyebabkan kerusakan fisik atau barang orang lain; paksaan</w:t>
      </w:r>
      <w:r w:rsidR="008B5873" w:rsidRPr="008D3831">
        <w:rPr>
          <w:rFonts w:eastAsia="Times New Roman"/>
          <w:lang w:val="id-ID"/>
        </w:rPr>
        <w:t xml:space="preserve"> </w:t>
      </w:r>
      <w:r w:rsidR="008B5873" w:rsidRPr="008D3831">
        <w:rPr>
          <w:rFonts w:eastAsia="Times New Roman"/>
          <w:lang w:val="id-ID"/>
        </w:rPr>
        <w:fldChar w:fldCharType="begin" w:fldLock="1"/>
      </w:r>
      <w:r w:rsidR="00D22624" w:rsidRPr="008D3831">
        <w:rPr>
          <w:rFonts w:eastAsia="Times New Roman"/>
          <w:lang w:val="id-ID"/>
        </w:rPr>
        <w:instrText>ADDIN CSL_CITATION {"citationItems":[{"id":"ITEM-1","itemData":{"URL":"https://kbbi.web.id/keras","accessed":{"date-parts":[["2021","3","20"]]},"author":[{"dropping-particle":"","family":"KBBI","given":"","non-dropping-particle":"","parse-names":false,"suffix":""}],"container-title":"Kamus Besar Bahasa Indonesia","id":"ITEM-1","issued":{"date-parts":[["0"]]},"title":"Definisi Kekerasan","type":"webpage"},"uris":["http://www.mendeley.com/documents/?uuid=4dcfe037-149f-4284-b1c9-9d797c61bcad"]}],"mendeley":{"formattedCitation":"(KBBI n.d.)","plainTextFormattedCitation":"(KBBI n.d.)","previouslyFormattedCitation":"(KBBI n.d.)"},"properties":{"noteIndex":0},"schema":"https://github.com/citation-style-language/schema/raw/master/csl-citation.json"}</w:instrText>
      </w:r>
      <w:r w:rsidR="008B5873" w:rsidRPr="008D3831">
        <w:rPr>
          <w:rFonts w:eastAsia="Times New Roman"/>
          <w:lang w:val="id-ID"/>
        </w:rPr>
        <w:fldChar w:fldCharType="separate"/>
      </w:r>
      <w:r w:rsidR="00D22624" w:rsidRPr="008D3831">
        <w:rPr>
          <w:rFonts w:eastAsia="Times New Roman"/>
          <w:noProof/>
          <w:lang w:val="id-ID"/>
        </w:rPr>
        <w:t>(KBBI n.d.)</w:t>
      </w:r>
      <w:r w:rsidR="008B5873" w:rsidRPr="008D3831">
        <w:rPr>
          <w:rFonts w:eastAsia="Times New Roman"/>
          <w:lang w:val="id-ID"/>
        </w:rPr>
        <w:fldChar w:fldCharType="end"/>
      </w:r>
      <w:r w:rsidR="00B75AA8" w:rsidRPr="008D3831">
        <w:rPr>
          <w:rFonts w:eastAsia="Times New Roman"/>
          <w:lang w:val="id-ID"/>
        </w:rPr>
        <w:t xml:space="preserve">. </w:t>
      </w:r>
      <w:r w:rsidR="00D14E27" w:rsidRPr="008D3831">
        <w:rPr>
          <w:rFonts w:eastAsia="Times New Roman"/>
          <w:lang w:val="id-ID"/>
        </w:rPr>
        <w:t>“</w:t>
      </w:r>
      <w:r w:rsidR="00B75AA8" w:rsidRPr="008D3831">
        <w:rPr>
          <w:rFonts w:eastAsia="Times New Roman"/>
          <w:lang w:val="id-ID"/>
        </w:rPr>
        <w:t>Ancaman</w:t>
      </w:r>
      <w:r w:rsidR="00D14E27" w:rsidRPr="008D3831">
        <w:rPr>
          <w:rFonts w:eastAsia="Times New Roman"/>
          <w:lang w:val="id-ID"/>
        </w:rPr>
        <w:t>”</w:t>
      </w:r>
      <w:r w:rsidR="00B75AA8" w:rsidRPr="008D3831">
        <w:rPr>
          <w:rFonts w:eastAsia="Times New Roman"/>
          <w:lang w:val="id-ID"/>
        </w:rPr>
        <w:t xml:space="preserve"> memiliki arti: menyatakan maksud (niat, rencana) untuk melakukan sesuatu yang merugikan, menyulitkan, menyusahkan, atau mencelakakan pihak lain; memberi pertanda atau peringatan mengenai kemungkinan malapetaka yang bakal terjadi</w:t>
      </w:r>
      <w:r w:rsidR="008B5873" w:rsidRPr="008D3831">
        <w:rPr>
          <w:rFonts w:eastAsia="Times New Roman"/>
          <w:lang w:val="id-ID"/>
        </w:rPr>
        <w:t xml:space="preserve"> </w:t>
      </w:r>
      <w:r w:rsidR="008B5873" w:rsidRPr="008D3831">
        <w:rPr>
          <w:rFonts w:eastAsia="Times New Roman"/>
          <w:lang w:val="id-ID"/>
        </w:rPr>
        <w:fldChar w:fldCharType="begin" w:fldLock="1"/>
      </w:r>
      <w:r w:rsidR="00D22624" w:rsidRPr="008D3831">
        <w:rPr>
          <w:rFonts w:eastAsia="Times New Roman"/>
          <w:lang w:val="id-ID"/>
        </w:rPr>
        <w:instrText>ADDIN CSL_CITATION {"citationItems":[{"id":"ITEM-1","itemData":{"URL":"https://kbbi.web.id/ancam","accessed":{"date-parts":[["2021","3","23"]]},"author":[{"dropping-particle":"","family":"KBBI","given":"","non-dropping-particle":"","parse-names":false,"suffix":""}],"container-title":"Kamus Besar Bahasa Indonesia","id":"ITEM-1","issued":{"date-parts":[["0"]]},"title":"Definisi Ancaman","type":"webpage"},"uris":["http://www.mendeley.com/documents/?uuid=0e01dcaf-6da7-4784-93d0-c9b143f67241"]}],"mendeley":{"formattedCitation":"(KBBI n.d.)","plainTextFormattedCitation":"(KBBI n.d.)","previouslyFormattedCitation":"(KBBI n.d.)"},"properties":{"noteIndex":0},"schema":"https://github.com/citation-style-language/schema/raw/master/csl-citation.json"}</w:instrText>
      </w:r>
      <w:r w:rsidR="008B5873" w:rsidRPr="008D3831">
        <w:rPr>
          <w:rFonts w:eastAsia="Times New Roman"/>
          <w:lang w:val="id-ID"/>
        </w:rPr>
        <w:fldChar w:fldCharType="separate"/>
      </w:r>
      <w:r w:rsidR="00D22624" w:rsidRPr="008D3831">
        <w:rPr>
          <w:rFonts w:eastAsia="Times New Roman"/>
          <w:noProof/>
          <w:lang w:val="id-ID"/>
        </w:rPr>
        <w:t>(KBBI n.d.)</w:t>
      </w:r>
      <w:r w:rsidR="008B5873" w:rsidRPr="008D3831">
        <w:rPr>
          <w:rFonts w:eastAsia="Times New Roman"/>
          <w:lang w:val="id-ID"/>
        </w:rPr>
        <w:fldChar w:fldCharType="end"/>
      </w:r>
      <w:r w:rsidR="00B75AA8" w:rsidRPr="008D3831">
        <w:rPr>
          <w:rFonts w:eastAsia="Times New Roman"/>
          <w:lang w:val="id-ID"/>
        </w:rPr>
        <w:t xml:space="preserve">. </w:t>
      </w:r>
      <w:r w:rsidR="00D14E27" w:rsidRPr="008D3831">
        <w:rPr>
          <w:rFonts w:eastAsia="Times New Roman"/>
        </w:rPr>
        <w:t>“</w:t>
      </w:r>
      <w:r w:rsidR="00B75AA8" w:rsidRPr="008D3831">
        <w:rPr>
          <w:rFonts w:eastAsia="Times New Roman"/>
          <w:lang w:val="id-ID"/>
        </w:rPr>
        <w:t>Ancaman kekerasan</w:t>
      </w:r>
      <w:r w:rsidR="00D14E27" w:rsidRPr="008D3831">
        <w:rPr>
          <w:rFonts w:eastAsia="Times New Roman"/>
        </w:rPr>
        <w:t>”</w:t>
      </w:r>
      <w:r w:rsidR="00B75AA8" w:rsidRPr="008D3831">
        <w:rPr>
          <w:rFonts w:eastAsia="Times New Roman"/>
          <w:lang w:val="id-ID"/>
        </w:rPr>
        <w:t xml:space="preserve"> dapat diartikan sebagai memberi pertanda atau peringatan untuk melakukan perbuatan yang menyebabkan cedera atau matinya orang lain atau menyebabkan kerusakan fisik atau barang orang lain.</w:t>
      </w:r>
    </w:p>
    <w:p w14:paraId="799D59B6" w14:textId="16B0C06A" w:rsidR="00B75AA8" w:rsidRPr="008D3831" w:rsidRDefault="00D14E27" w:rsidP="0048135E">
      <w:pPr>
        <w:spacing w:line="276" w:lineRule="auto"/>
        <w:ind w:right="27" w:firstLine="426"/>
        <w:contextualSpacing/>
        <w:jc w:val="both"/>
        <w:rPr>
          <w:rFonts w:eastAsia="Times New Roman"/>
          <w:lang w:val="id-ID"/>
        </w:rPr>
      </w:pPr>
      <w:r w:rsidRPr="008D3831">
        <w:rPr>
          <w:rFonts w:eastAsia="Times New Roman"/>
          <w:lang w:val="id-ID"/>
        </w:rPr>
        <w:t>“</w:t>
      </w:r>
      <w:r w:rsidR="00B75AA8" w:rsidRPr="008D3831">
        <w:rPr>
          <w:rFonts w:eastAsia="Times New Roman"/>
          <w:lang w:val="id-ID"/>
        </w:rPr>
        <w:t>Memaksa</w:t>
      </w:r>
      <w:r w:rsidRPr="008D3831">
        <w:rPr>
          <w:rFonts w:eastAsia="Times New Roman"/>
          <w:lang w:val="id-ID"/>
        </w:rPr>
        <w:t>”</w:t>
      </w:r>
      <w:r w:rsidR="00B75AA8" w:rsidRPr="008D3831">
        <w:rPr>
          <w:rFonts w:eastAsia="Times New Roman"/>
          <w:lang w:val="id-ID"/>
        </w:rPr>
        <w:t xml:space="preserve"> berasal dari kata dasar paksa yakni: mengerjakan sesuatu yang diharuskan walaupun tidak mau; kekerasan; perkosaan, dan memaksa yang memiliki arti memperlakukan, menyuruh, meminta dengan paksa; berbuat dengan kekerasan (mendesak, menekan); memerkosa</w:t>
      </w:r>
      <w:r w:rsidR="008B5873" w:rsidRPr="008D3831">
        <w:rPr>
          <w:rFonts w:eastAsia="Times New Roman"/>
          <w:lang w:val="id-ID"/>
        </w:rPr>
        <w:t xml:space="preserve"> </w:t>
      </w:r>
      <w:r w:rsidR="008B5873" w:rsidRPr="008D3831">
        <w:rPr>
          <w:rFonts w:eastAsia="Times New Roman"/>
          <w:lang w:val="id-ID"/>
        </w:rPr>
        <w:fldChar w:fldCharType="begin" w:fldLock="1"/>
      </w:r>
      <w:r w:rsidR="00D22624" w:rsidRPr="008D3831">
        <w:rPr>
          <w:rFonts w:eastAsia="Times New Roman"/>
          <w:lang w:val="id-ID"/>
        </w:rPr>
        <w:instrText>ADDIN CSL_CITATION {"citationItems":[{"id":"ITEM-1","itemData":{"URL":"https://kbbi.web.id/paksa","accessed":{"date-parts":[["2021","3","27"]]},"author":[{"dropping-particle":"","family":"KBBI","given":"","non-dropping-particle":"","parse-names":false,"suffix":""}],"container-title":"Kamus Besar Bahasa Indonesia","id":"ITEM-1","issued":{"date-parts":[["0"]]},"title":"Definisi paksa","type":"webpage"},"uris":["http://www.mendeley.com/documents/?uuid=d3c01174-321f-4a20-8da9-67f0eaf1ac8f"]}],"mendeley":{"formattedCitation":"(KBBI n.d.)","plainTextFormattedCitation":"(KBBI n.d.)","previouslyFormattedCitation":"(KBBI n.d.)"},"properties":{"noteIndex":0},"schema":"https://github.com/citation-style-language/schema/raw/master/csl-citation.json"}</w:instrText>
      </w:r>
      <w:r w:rsidR="008B5873" w:rsidRPr="008D3831">
        <w:rPr>
          <w:rFonts w:eastAsia="Times New Roman"/>
          <w:lang w:val="id-ID"/>
        </w:rPr>
        <w:fldChar w:fldCharType="separate"/>
      </w:r>
      <w:r w:rsidR="00D22624" w:rsidRPr="008D3831">
        <w:rPr>
          <w:rFonts w:eastAsia="Times New Roman"/>
          <w:noProof/>
          <w:lang w:val="id-ID"/>
        </w:rPr>
        <w:t>(KBBI n.d.)</w:t>
      </w:r>
      <w:r w:rsidR="008B5873" w:rsidRPr="008D3831">
        <w:rPr>
          <w:rFonts w:eastAsia="Times New Roman"/>
          <w:lang w:val="id-ID"/>
        </w:rPr>
        <w:fldChar w:fldCharType="end"/>
      </w:r>
      <w:r w:rsidR="00B75AA8" w:rsidRPr="008D3831">
        <w:rPr>
          <w:rFonts w:eastAsia="Times New Roman"/>
          <w:lang w:val="id-ID"/>
        </w:rPr>
        <w:t xml:space="preserve">. Kata paksaan sendiri dalam terjemahan menurut Bahasa Inggris memiliki beberapa sinonim kata yang sama yakni </w:t>
      </w:r>
      <w:r w:rsidR="00B75AA8" w:rsidRPr="008D3831">
        <w:rPr>
          <w:rFonts w:eastAsia="Times New Roman"/>
          <w:i/>
          <w:lang w:val="id-ID"/>
        </w:rPr>
        <w:t>coercion, compulsion, force, constraint, forcing dan enforcement</w:t>
      </w:r>
      <w:r w:rsidR="00B75AA8" w:rsidRPr="008D3831">
        <w:rPr>
          <w:rFonts w:eastAsia="Times New Roman"/>
          <w:lang w:val="id-ID"/>
        </w:rPr>
        <w:t xml:space="preserve">. Namun dalam Black Law Dictionary Seventh Edition, hanya ditemukan pengertian </w:t>
      </w:r>
      <w:r w:rsidR="00B75AA8" w:rsidRPr="008D3831">
        <w:rPr>
          <w:rFonts w:eastAsia="Times New Roman"/>
          <w:i/>
          <w:lang w:val="id-ID"/>
        </w:rPr>
        <w:t>coercion, force dan compulsion</w:t>
      </w:r>
      <w:r w:rsidR="00B75AA8" w:rsidRPr="008D3831">
        <w:rPr>
          <w:rFonts w:eastAsia="Times New Roman"/>
          <w:lang w:val="id-ID"/>
        </w:rPr>
        <w:t xml:space="preserve"> tentang paksaan menurut kamus hukum</w:t>
      </w:r>
      <w:r w:rsidR="000A2D89" w:rsidRPr="008D3831">
        <w:rPr>
          <w:rFonts w:eastAsia="Times New Roman"/>
          <w:lang w:val="id-ID"/>
        </w:rPr>
        <w:t xml:space="preserve"> </w:t>
      </w:r>
      <w:r w:rsidR="000A2D89" w:rsidRPr="008D3831">
        <w:rPr>
          <w:rFonts w:eastAsia="Times New Roman"/>
          <w:lang w:val="id-ID"/>
        </w:rPr>
        <w:fldChar w:fldCharType="begin" w:fldLock="1"/>
      </w:r>
      <w:r w:rsidR="00D22624" w:rsidRPr="008D3831">
        <w:rPr>
          <w:rFonts w:eastAsia="Times New Roman"/>
          <w:lang w:val="id-ID"/>
        </w:rPr>
        <w:instrText>ADDIN CSL_CITATION {"citationItems":[{"id":"ITEM-1","itemData":{"author":[{"dropping-particle":"","family":"Rukmana","given":"Fatmawati Indra","non-dropping-particle":"","parse-names":false,"suffix":""}],"id":"ITEM-1","issued":{"date-parts":[["2013"]]},"publisher":"Universitas Brawijaya, Malang","title":"Interpretasi Hukum Dalam Menentukan Unsur Paksaan Dan Ancaman Yang Melanggar Hukum Sebagai Dasar Pembatalan Perkawinan (Analisis Yuridis Putusan Nomor : 285/ Pdt.G/ 2008/ PA/ Krs jo. Putusan Nomor: 230/ Pdt. G/2008/ PTA.Sby )","type":"thesis"},"uris":["http://www.mendeley.com/documents/?uuid=5e7a30b0-dbf0-425d-8a00-319f80214089"]}],"mendeley":{"formattedCitation":"(Rukmana 2013)","plainTextFormattedCitation":"(Rukmana 2013)","previouslyFormattedCitation":"(Rukmana 2013)"},"properties":{"noteIndex":0},"schema":"https://github.com/citation-style-language/schema/raw/master/csl-citation.json"}</w:instrText>
      </w:r>
      <w:r w:rsidR="000A2D89" w:rsidRPr="008D3831">
        <w:rPr>
          <w:rFonts w:eastAsia="Times New Roman"/>
          <w:lang w:val="id-ID"/>
        </w:rPr>
        <w:fldChar w:fldCharType="separate"/>
      </w:r>
      <w:r w:rsidR="00D22624" w:rsidRPr="008D3831">
        <w:rPr>
          <w:rFonts w:eastAsia="Times New Roman"/>
          <w:noProof/>
          <w:lang w:val="id-ID"/>
        </w:rPr>
        <w:t>(Rukmana 2013)</w:t>
      </w:r>
      <w:r w:rsidR="000A2D89" w:rsidRPr="008D3831">
        <w:rPr>
          <w:rFonts w:eastAsia="Times New Roman"/>
          <w:lang w:val="id-ID"/>
        </w:rPr>
        <w:fldChar w:fldCharType="end"/>
      </w:r>
      <w:r w:rsidR="00B75AA8" w:rsidRPr="008D3831">
        <w:rPr>
          <w:rFonts w:eastAsia="Times New Roman"/>
          <w:lang w:val="id-ID"/>
        </w:rPr>
        <w:t>.</w:t>
      </w:r>
    </w:p>
    <w:p w14:paraId="248783A5" w14:textId="77777777"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 xml:space="preserve">Definisi kekerasan menurut </w:t>
      </w:r>
      <w:r w:rsidR="005061F6" w:rsidRPr="008D3831">
        <w:rPr>
          <w:rFonts w:eastAsia="Times New Roman"/>
          <w:lang w:val="id-ID"/>
        </w:rPr>
        <w:t>Pasal</w:t>
      </w:r>
      <w:r w:rsidRPr="008D3831">
        <w:rPr>
          <w:rFonts w:eastAsia="Times New Roman"/>
          <w:lang w:val="id-ID"/>
        </w:rPr>
        <w:t xml:space="preserve"> 1 ayat (3) Undang-Undang Nomor 5 Tahun 2018 tentang Tindak Pidana Terorisme: </w:t>
      </w:r>
    </w:p>
    <w:p w14:paraId="7DD21366" w14:textId="77777777" w:rsidR="00B75AA8" w:rsidRPr="008D3831" w:rsidRDefault="00B75AA8" w:rsidP="0048135E">
      <w:pPr>
        <w:spacing w:line="276" w:lineRule="auto"/>
        <w:ind w:left="426" w:firstLine="426"/>
        <w:jc w:val="both"/>
        <w:rPr>
          <w:rFonts w:eastAsia="Times New Roman"/>
          <w:lang w:val="id-ID"/>
        </w:rPr>
      </w:pPr>
      <w:r w:rsidRPr="008D3831">
        <w:rPr>
          <w:rFonts w:eastAsia="Times New Roman"/>
          <w:lang w:val="id-ID"/>
        </w:rPr>
        <w:t>“</w:t>
      </w:r>
      <w:r w:rsidRPr="008D3831">
        <w:rPr>
          <w:rFonts w:eastAsia="Times New Roman"/>
          <w:i/>
          <w:lang w:val="id-ID"/>
        </w:rPr>
        <w:t>kekerasan adalah setiap perbuatan penyalahgunaan kekuatan fisik dengan atau tanpa menggunakan sarana secara melawan hukum dan menimbulkan bahaya bagi badan, nyawa, dan kemerdekaan orang, termasuk menjadikan orang pingsan atau tidak berdaya</w:t>
      </w:r>
      <w:r w:rsidRPr="008D3831">
        <w:rPr>
          <w:rFonts w:eastAsia="Times New Roman"/>
          <w:lang w:val="id-ID"/>
        </w:rPr>
        <w:t>.”</w:t>
      </w:r>
    </w:p>
    <w:p w14:paraId="7F3F34AD" w14:textId="77777777"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 xml:space="preserve">Definisi ancaman kekerasan menurut </w:t>
      </w:r>
      <w:r w:rsidR="005061F6" w:rsidRPr="008D3831">
        <w:rPr>
          <w:rFonts w:eastAsia="Times New Roman"/>
          <w:lang w:val="id-ID"/>
        </w:rPr>
        <w:t>Pasal</w:t>
      </w:r>
      <w:r w:rsidRPr="008D3831">
        <w:rPr>
          <w:rFonts w:eastAsia="Times New Roman"/>
          <w:lang w:val="id-ID"/>
        </w:rPr>
        <w:t xml:space="preserve"> 1 ayat (3) Undang-Undang Nomor 5 Tahun 2018 tentang Tindak Pidana Terorisme:</w:t>
      </w:r>
    </w:p>
    <w:p w14:paraId="36D4BE2B" w14:textId="77777777" w:rsidR="00B75AA8" w:rsidRPr="008D3831" w:rsidRDefault="00B75AA8" w:rsidP="0048135E">
      <w:pPr>
        <w:spacing w:line="276" w:lineRule="auto"/>
        <w:ind w:left="426" w:firstLine="426"/>
        <w:jc w:val="both"/>
        <w:rPr>
          <w:rFonts w:eastAsia="Times New Roman"/>
          <w:lang w:val="id-ID"/>
        </w:rPr>
      </w:pPr>
      <w:r w:rsidRPr="008D3831">
        <w:rPr>
          <w:rFonts w:eastAsia="Times New Roman"/>
          <w:lang w:val="id-ID"/>
        </w:rPr>
        <w:t>“</w:t>
      </w:r>
      <w:r w:rsidRPr="008D3831">
        <w:rPr>
          <w:rFonts w:eastAsia="Times New Roman"/>
          <w:i/>
          <w:lang w:val="id-ID"/>
        </w:rPr>
        <w:t>Ancaman kekerasan adalah setiap perbuatan secara melawan hukum berupa ucapan, tulisan, gambar, simbol, atau gerakan tubuh, baik dengan maupun tanpa menggunakan sarana dalam bentuk elektronik atau nonelektronik yang dapat menimbulkan rasa takut terhadap orang atau masyarakat secara luas atau mengekang kebebasan hakiki seseorang atau masyarakat</w:t>
      </w:r>
      <w:r w:rsidRPr="008D3831">
        <w:rPr>
          <w:rFonts w:eastAsia="Times New Roman"/>
          <w:lang w:val="id-ID"/>
        </w:rPr>
        <w:t>.”</w:t>
      </w:r>
    </w:p>
    <w:p w14:paraId="1A905210" w14:textId="77777777"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 xml:space="preserve">Perbuatan memaksa tercantum dalam KUHP </w:t>
      </w:r>
      <w:r w:rsidR="005061F6" w:rsidRPr="008D3831">
        <w:rPr>
          <w:rFonts w:eastAsia="Times New Roman"/>
          <w:lang w:val="id-ID"/>
        </w:rPr>
        <w:t>Pasal</w:t>
      </w:r>
      <w:r w:rsidRPr="008D3831">
        <w:rPr>
          <w:rFonts w:eastAsia="Times New Roman"/>
          <w:lang w:val="id-ID"/>
        </w:rPr>
        <w:t xml:space="preserve"> 335, yang berbunyi:</w:t>
      </w:r>
    </w:p>
    <w:p w14:paraId="2DA8EC82" w14:textId="77777777" w:rsidR="00B75AA8" w:rsidRPr="008D3831" w:rsidRDefault="00B75AA8" w:rsidP="0048135E">
      <w:pPr>
        <w:spacing w:line="276" w:lineRule="auto"/>
        <w:ind w:left="426" w:firstLine="426"/>
        <w:jc w:val="both"/>
        <w:rPr>
          <w:rFonts w:eastAsia="Times New Roman"/>
          <w:i/>
          <w:lang w:val="id-ID"/>
        </w:rPr>
      </w:pPr>
      <w:r w:rsidRPr="008D3831">
        <w:rPr>
          <w:rFonts w:eastAsia="Times New Roman"/>
          <w:lang w:val="id-ID"/>
        </w:rPr>
        <w:t>“</w:t>
      </w:r>
      <w:r w:rsidRPr="008D3831">
        <w:rPr>
          <w:rFonts w:eastAsia="Times New Roman"/>
          <w:i/>
          <w:lang w:val="id-ID"/>
        </w:rPr>
        <w:t>(1) Diancam dengan pidana penjara paling lama satu tahun atau denda paling banyak empat ribu lima ratus rupiah:</w:t>
      </w:r>
    </w:p>
    <w:p w14:paraId="4485EFA6" w14:textId="77777777" w:rsidR="00B75AA8" w:rsidRPr="008D3831" w:rsidRDefault="00B75AA8" w:rsidP="0048135E">
      <w:pPr>
        <w:numPr>
          <w:ilvl w:val="0"/>
          <w:numId w:val="18"/>
        </w:numPr>
        <w:spacing w:line="276" w:lineRule="auto"/>
        <w:ind w:left="851" w:hanging="284"/>
        <w:jc w:val="both"/>
        <w:rPr>
          <w:rFonts w:eastAsia="Times New Roman"/>
          <w:i/>
          <w:lang w:val="id-ID"/>
        </w:rPr>
      </w:pPr>
      <w:r w:rsidRPr="008D3831">
        <w:rPr>
          <w:rFonts w:eastAsia="Times New Roman"/>
          <w:i/>
          <w:lang w:val="id-ID"/>
        </w:rPr>
        <w:lastRenderedPageBreak/>
        <w:t>barang siapa secara melawan hukum memaksa orang lain supaya melakukan, tidak melakukan atau membiarkan sesuatu, dengan memakai kekerasan, sesuatu perbuatan lain maupun perlakuan yang tak menyenangkan, atau dengan memakai ancaman kekerasan, sesuatu perbuatan lain maupun perlakuan yang tak menyenangkan, baik terhadap orang itu sendiri maupun orang lain;</w:t>
      </w:r>
    </w:p>
    <w:p w14:paraId="61478486" w14:textId="77777777" w:rsidR="00B75AA8" w:rsidRPr="008D3831" w:rsidRDefault="00B75AA8" w:rsidP="0048135E">
      <w:pPr>
        <w:numPr>
          <w:ilvl w:val="0"/>
          <w:numId w:val="18"/>
        </w:numPr>
        <w:spacing w:line="276" w:lineRule="auto"/>
        <w:ind w:left="851" w:hanging="284"/>
        <w:jc w:val="both"/>
        <w:rPr>
          <w:rFonts w:eastAsia="Times New Roman"/>
          <w:i/>
          <w:lang w:val="id-ID"/>
        </w:rPr>
      </w:pPr>
      <w:r w:rsidRPr="008D3831">
        <w:rPr>
          <w:rFonts w:eastAsia="Times New Roman"/>
          <w:i/>
          <w:lang w:val="id-ID"/>
        </w:rPr>
        <w:t>barang siapa memaksa orang lain supaya melakukan, tidak melakukan atau membiarkan sesuatu dengan ancaman pencemaran atau pencemaran tertulis.</w:t>
      </w:r>
    </w:p>
    <w:p w14:paraId="0FB404FD" w14:textId="77777777" w:rsidR="00B75AA8" w:rsidRPr="008D3831" w:rsidRDefault="00B75AA8" w:rsidP="0048135E">
      <w:pPr>
        <w:spacing w:line="276" w:lineRule="auto"/>
        <w:ind w:left="426" w:firstLine="426"/>
        <w:jc w:val="both"/>
        <w:rPr>
          <w:rFonts w:eastAsia="Times New Roman"/>
          <w:lang w:val="id-ID"/>
        </w:rPr>
      </w:pPr>
      <w:r w:rsidRPr="008D3831">
        <w:rPr>
          <w:rFonts w:eastAsia="Times New Roman"/>
          <w:i/>
          <w:lang w:val="id-ID"/>
        </w:rPr>
        <w:t>(2) Dalam hal sebagaimana dirumuskan dalam butir 2, kejahatan hanya dituntut atas pengaduan orang yang terkena.</w:t>
      </w:r>
      <w:r w:rsidRPr="008D3831">
        <w:rPr>
          <w:rFonts w:eastAsia="Times New Roman"/>
          <w:lang w:val="id-ID"/>
        </w:rPr>
        <w:t>”</w:t>
      </w:r>
    </w:p>
    <w:p w14:paraId="08301E81" w14:textId="77777777"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 xml:space="preserve">Berdasarkan Putusan Mahkamah Konstitusi Nomor 1/PUU-XI/2013, bunyi </w:t>
      </w:r>
      <w:r w:rsidR="005061F6" w:rsidRPr="008D3831">
        <w:rPr>
          <w:rFonts w:eastAsia="Times New Roman"/>
          <w:lang w:val="id-ID"/>
        </w:rPr>
        <w:t>Pasal</w:t>
      </w:r>
      <w:r w:rsidRPr="008D3831">
        <w:rPr>
          <w:rFonts w:eastAsia="Times New Roman"/>
          <w:lang w:val="id-ID"/>
        </w:rPr>
        <w:t xml:space="preserve"> 335 ayat (1) angka 1 KUHP telah diubah menjadi:</w:t>
      </w:r>
    </w:p>
    <w:p w14:paraId="390EDE01" w14:textId="77777777" w:rsidR="00B75AA8" w:rsidRPr="008D3831" w:rsidRDefault="00B75AA8" w:rsidP="0048135E">
      <w:pPr>
        <w:spacing w:line="276" w:lineRule="auto"/>
        <w:ind w:left="426" w:firstLine="426"/>
        <w:jc w:val="both"/>
        <w:rPr>
          <w:rFonts w:eastAsia="Times New Roman"/>
          <w:lang w:val="id-ID"/>
        </w:rPr>
      </w:pPr>
      <w:r w:rsidRPr="008D3831">
        <w:rPr>
          <w:rFonts w:eastAsia="Times New Roman"/>
          <w:lang w:val="id-ID"/>
        </w:rPr>
        <w:t>“</w:t>
      </w:r>
      <w:r w:rsidRPr="008D3831">
        <w:rPr>
          <w:rFonts w:eastAsia="Times New Roman"/>
          <w:i/>
          <w:lang w:val="id-ID"/>
        </w:rPr>
        <w:t>Barang siapa secara melawan hukum memaksa orang lain supaya melakukan, tidak melakukan atau membiarkan sesuatu, dengan memakai kekerasan, atau dengan memakai ancaman kekerasan, baik terhadap orang itu sendiri maupun orang lain.</w:t>
      </w:r>
      <w:r w:rsidRPr="008D3831">
        <w:rPr>
          <w:rFonts w:eastAsia="Times New Roman"/>
          <w:lang w:val="id-ID"/>
        </w:rPr>
        <w:t>”</w:t>
      </w:r>
    </w:p>
    <w:p w14:paraId="0A67AD79" w14:textId="77777777"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Penggunaan daya upaya sudah menunjukkan, bahwa terdapat perbuatan paksaan dan juga, bahwa perbuatan paksaan ini dilakukan dengan melawan hukum, paksaan mana ditujukan terhadap berbuat, tidak berbuat atau membiarkan. Perbuatan paksaan adalah setiap perbuatan yang dapat menimbulkan rasa takut pada orang lain</w:t>
      </w:r>
      <w:r w:rsidR="000A2D89" w:rsidRPr="008D3831">
        <w:rPr>
          <w:rFonts w:eastAsia="Times New Roman"/>
          <w:lang w:val="id-ID"/>
        </w:rPr>
        <w:t xml:space="preserve"> </w:t>
      </w:r>
      <w:r w:rsidR="000A2D89" w:rsidRPr="008D3831">
        <w:rPr>
          <w:rFonts w:eastAsia="Times New Roman"/>
          <w:lang w:val="id-ID"/>
        </w:rPr>
        <w:fldChar w:fldCharType="begin" w:fldLock="1"/>
      </w:r>
      <w:r w:rsidR="005761E2" w:rsidRPr="008D3831">
        <w:rPr>
          <w:rFonts w:eastAsia="Times New Roman"/>
          <w:lang w:val="id-ID"/>
        </w:rPr>
        <w:instrText>ADDIN CSL_CITATION {"citationItems":[{"id":"ITEM-1","itemData":{"author":[{"dropping-particle":"","family":"Risnayanti","given":"","non-dropping-particle":"","parse-names":false,"suffix":""}],"id":"ITEM-1","issued":{"date-parts":[["2018"]]},"publisher":"Universitas Hasanuddin, Makassar","title":"Tinjauan Yuridis Terhadap Tindak Pidana Pemerasan Dengan Menggunakan Senjata Tajam","type":"thesis"},"uris":["http://www.mendeley.com/documents/?uuid=a4c41b96-6ba2-4341-a1d0-d202dba12338"]}],"mendeley":{"formattedCitation":"(Risnayanti 2018)","plainTextFormattedCitation":"(Risnayanti 2018)","previouslyFormattedCitation":"(Risnayanti 2018)"},"properties":{"noteIndex":0},"schema":"https://github.com/citation-style-language/schema/raw/master/csl-citation.json"}</w:instrText>
      </w:r>
      <w:r w:rsidR="000A2D89" w:rsidRPr="008D3831">
        <w:rPr>
          <w:rFonts w:eastAsia="Times New Roman"/>
          <w:lang w:val="id-ID"/>
        </w:rPr>
        <w:fldChar w:fldCharType="separate"/>
      </w:r>
      <w:r w:rsidR="0041548D" w:rsidRPr="008D3831">
        <w:rPr>
          <w:rFonts w:eastAsia="Times New Roman"/>
          <w:noProof/>
          <w:lang w:val="id-ID"/>
        </w:rPr>
        <w:t>(Risnayanti 2018)</w:t>
      </w:r>
      <w:r w:rsidR="000A2D89" w:rsidRPr="008D3831">
        <w:rPr>
          <w:rFonts w:eastAsia="Times New Roman"/>
          <w:lang w:val="id-ID"/>
        </w:rPr>
        <w:fldChar w:fldCharType="end"/>
      </w:r>
      <w:r w:rsidRPr="008D3831">
        <w:rPr>
          <w:rFonts w:eastAsia="Times New Roman"/>
          <w:lang w:val="id-ID"/>
        </w:rPr>
        <w:t>.</w:t>
      </w:r>
    </w:p>
    <w:p w14:paraId="4676BE05" w14:textId="77777777"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Dapat dikatakan seseorang yang berada dalam keadaan terpaksa akan memenuhi permintaan atau memenuhi tujuan orang yang memaksa dengan perasaan terpaksa atau bukan karena keinginannya sendiri.</w:t>
      </w:r>
    </w:p>
    <w:p w14:paraId="54648F18" w14:textId="77777777" w:rsidR="001602EB"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 xml:space="preserve">Dalam </w:t>
      </w:r>
      <w:r w:rsidR="005061F6" w:rsidRPr="008D3831">
        <w:rPr>
          <w:rFonts w:eastAsia="Times New Roman"/>
          <w:lang w:val="id-ID"/>
        </w:rPr>
        <w:t>Pasal</w:t>
      </w:r>
      <w:r w:rsidRPr="008D3831">
        <w:rPr>
          <w:rFonts w:eastAsia="Times New Roman"/>
          <w:lang w:val="id-ID"/>
        </w:rPr>
        <w:t xml:space="preserve"> 81 ayat (2) Undang-Undang Nomor 23 Tahun 2002 tentang Perlindungan anak tidak disebutkan apakah bujuk rayu termasuk dalam unsur kekerasan, ancaman kekerasan ataupun perbuatan memaksa. </w:t>
      </w:r>
      <w:r w:rsidR="005061F6" w:rsidRPr="008D3831">
        <w:rPr>
          <w:rFonts w:eastAsia="Times New Roman"/>
          <w:lang w:val="id-ID"/>
        </w:rPr>
        <w:t>Pasal</w:t>
      </w:r>
      <w:r w:rsidRPr="008D3831">
        <w:rPr>
          <w:rFonts w:eastAsia="Times New Roman"/>
          <w:lang w:val="id-ID"/>
        </w:rPr>
        <w:t xml:space="preserve"> 81 ayat (2) Undang-Undang Nomor 23 Tahun 2002 hanya menyebutkan </w:t>
      </w:r>
      <w:r w:rsidR="007A3F97" w:rsidRPr="008D3831">
        <w:rPr>
          <w:rFonts w:eastAsia="Times New Roman"/>
          <w:lang w:val="id-ID"/>
        </w:rPr>
        <w:t>:</w:t>
      </w:r>
    </w:p>
    <w:p w14:paraId="30D27E49" w14:textId="77777777" w:rsidR="003F71BF" w:rsidRPr="008D3831" w:rsidRDefault="00B75AA8" w:rsidP="0048135E">
      <w:pPr>
        <w:spacing w:line="276" w:lineRule="auto"/>
        <w:ind w:left="426" w:firstLine="426"/>
        <w:jc w:val="both"/>
        <w:rPr>
          <w:rFonts w:eastAsia="Times New Roman"/>
          <w:lang w:val="id-ID"/>
        </w:rPr>
      </w:pPr>
      <w:r w:rsidRPr="008D3831">
        <w:rPr>
          <w:rFonts w:eastAsia="Times New Roman"/>
          <w:lang w:val="id-ID"/>
        </w:rPr>
        <w:t>“</w:t>
      </w:r>
      <w:r w:rsidRPr="008D3831">
        <w:rPr>
          <w:rFonts w:eastAsia="Times New Roman"/>
          <w:i/>
          <w:lang w:val="id-ID"/>
        </w:rPr>
        <w:t>Ketentuan pidana sebagaimana dimaksud dalam ayat (1) berlaku pula bagi setiap orang yang dengan sengaja melakukan tipu muslihat, serangkaian kebohongan, atau membujuk anak melakukan persetubuhan dengannya atau dengan orang lain</w:t>
      </w:r>
      <w:r w:rsidRPr="008D3831">
        <w:rPr>
          <w:rFonts w:eastAsia="Times New Roman"/>
          <w:lang w:val="id-ID"/>
        </w:rPr>
        <w:t xml:space="preserve">”. </w:t>
      </w:r>
    </w:p>
    <w:p w14:paraId="164385F2" w14:textId="178049B3"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Menurut Kamus Besar Bahasa Indonesia Istilah bujuk rayu berasal dari kata “bujuk” dan “rayu”. Bujuk adalah usaha untuk meyakinkan seseorang bahwa yang dikatakan benar</w:t>
      </w:r>
      <w:r w:rsidR="008B5873" w:rsidRPr="008D3831">
        <w:rPr>
          <w:rFonts w:eastAsia="Times New Roman"/>
          <w:lang w:val="id-ID"/>
        </w:rPr>
        <w:t xml:space="preserve"> </w:t>
      </w:r>
      <w:r w:rsidR="008B5873" w:rsidRPr="008D3831">
        <w:rPr>
          <w:rFonts w:eastAsia="Times New Roman"/>
          <w:lang w:val="id-ID"/>
        </w:rPr>
        <w:fldChar w:fldCharType="begin" w:fldLock="1"/>
      </w:r>
      <w:r w:rsidR="00D22624" w:rsidRPr="008D3831">
        <w:rPr>
          <w:rFonts w:eastAsia="Times New Roman"/>
          <w:lang w:val="id-ID"/>
        </w:rPr>
        <w:instrText>ADDIN CSL_CITATION {"citationItems":[{"id":"ITEM-1","itemData":{"URL":"https://kbbi.web.id/bujuk","accessed":{"date-parts":[["2021","3","30"]]},"author":[{"dropping-particle":"","family":"KBBI","given":"","non-dropping-particle":"","parse-names":false,"suffix":""}],"container-title":"Kamus Besar Bahasa Indonesia","id":"ITEM-1","issued":{"date-parts":[["0"]]},"title":"definisi bujuk","type":"webpage"},"uris":["http://www.mendeley.com/documents/?uuid=ceba421b-1a65-48b3-bcb9-f92421326b26"]}],"mendeley":{"formattedCitation":"(KBBI n.d.)","plainTextFormattedCitation":"(KBBI n.d.)","previouslyFormattedCitation":"(KBBI n.d.)"},"properties":{"noteIndex":0},"schema":"https://github.com/citation-style-language/schema/raw/master/csl-citation.json"}</w:instrText>
      </w:r>
      <w:r w:rsidR="008B5873" w:rsidRPr="008D3831">
        <w:rPr>
          <w:rFonts w:eastAsia="Times New Roman"/>
          <w:lang w:val="id-ID"/>
        </w:rPr>
        <w:fldChar w:fldCharType="separate"/>
      </w:r>
      <w:r w:rsidR="00D22624" w:rsidRPr="008D3831">
        <w:rPr>
          <w:rFonts w:eastAsia="Times New Roman"/>
          <w:noProof/>
          <w:lang w:val="id-ID"/>
        </w:rPr>
        <w:t>(KBBI n.d.)</w:t>
      </w:r>
      <w:r w:rsidR="008B5873" w:rsidRPr="008D3831">
        <w:rPr>
          <w:rFonts w:eastAsia="Times New Roman"/>
          <w:lang w:val="id-ID"/>
        </w:rPr>
        <w:fldChar w:fldCharType="end"/>
      </w:r>
      <w:r w:rsidRPr="008D3831">
        <w:rPr>
          <w:rFonts w:eastAsia="Times New Roman"/>
          <w:lang w:val="id-ID"/>
        </w:rPr>
        <w:t xml:space="preserve">, sedangkan rayu adalah menyenangkan hati (memikat) dengan kata-kata manis </w:t>
      </w:r>
      <w:r w:rsidRPr="008D3831">
        <w:rPr>
          <w:rFonts w:eastAsia="Times New Roman"/>
          <w:lang w:val="id-ID"/>
        </w:rPr>
        <w:lastRenderedPageBreak/>
        <w:t>dan sebagainya</w:t>
      </w:r>
      <w:r w:rsidR="008B5873" w:rsidRPr="008D3831">
        <w:rPr>
          <w:rFonts w:eastAsia="Times New Roman"/>
          <w:lang w:val="id-ID"/>
        </w:rPr>
        <w:t xml:space="preserve"> </w:t>
      </w:r>
      <w:r w:rsidR="008B5873" w:rsidRPr="008D3831">
        <w:rPr>
          <w:rFonts w:eastAsia="Times New Roman"/>
          <w:lang w:val="id-ID"/>
        </w:rPr>
        <w:fldChar w:fldCharType="begin" w:fldLock="1"/>
      </w:r>
      <w:r w:rsidR="00D22624" w:rsidRPr="008D3831">
        <w:rPr>
          <w:rFonts w:eastAsia="Times New Roman"/>
          <w:lang w:val="id-ID"/>
        </w:rPr>
        <w:instrText>ADDIN CSL_CITATION {"citationItems":[{"id":"ITEM-1","itemData":{"URL":"https://kbbi.web.id/rayu-2","accessed":{"date-parts":[["2021","3","30"]]},"author":[{"dropping-particle":"","family":"KBBI","given":"","non-dropping-particle":"","parse-names":false,"suffix":""}],"container-title":"Kamus Besar Bahasa Indonesia","id":"ITEM-1","issued":{"date-parts":[["0"]]},"title":"Definisi Rayu","type":"webpage"},"uris":["http://www.mendeley.com/documents/?uuid=8a606b89-a083-4a4e-a722-b2247ee68cff"]}],"mendeley":{"formattedCitation":"(KBBI n.d.)","plainTextFormattedCitation":"(KBBI n.d.)","previouslyFormattedCitation":"(KBBI n.d.)"},"properties":{"noteIndex":0},"schema":"https://github.com/citation-style-language/schema/raw/master/csl-citation.json"}</w:instrText>
      </w:r>
      <w:r w:rsidR="008B5873" w:rsidRPr="008D3831">
        <w:rPr>
          <w:rFonts w:eastAsia="Times New Roman"/>
          <w:lang w:val="id-ID"/>
        </w:rPr>
        <w:fldChar w:fldCharType="separate"/>
      </w:r>
      <w:r w:rsidR="00D22624" w:rsidRPr="008D3831">
        <w:rPr>
          <w:rFonts w:eastAsia="Times New Roman"/>
          <w:noProof/>
          <w:lang w:val="id-ID"/>
        </w:rPr>
        <w:t>(KBBI n.d.)</w:t>
      </w:r>
      <w:r w:rsidR="008B5873" w:rsidRPr="008D3831">
        <w:rPr>
          <w:rFonts w:eastAsia="Times New Roman"/>
          <w:lang w:val="id-ID"/>
        </w:rPr>
        <w:fldChar w:fldCharType="end"/>
      </w:r>
      <w:r w:rsidRPr="008D3831">
        <w:rPr>
          <w:rFonts w:eastAsia="Times New Roman"/>
          <w:lang w:val="id-ID"/>
        </w:rPr>
        <w:t>. Berdasarkan pengerti tersebut bujuk rayu dapat diartikan sebagai perbuatan untuk meyakinkan seseorang atau membohongi untuk tujuan tertentu dengan cara menyenangkan hati atau memikat hati dengan kata-kata manis. Dapat dikatakan seseorang yang dibujuk rayu akan dengan senang hati memenuhi permintaan orang yang melakukan bujuk rayu.</w:t>
      </w:r>
    </w:p>
    <w:p w14:paraId="37765D12" w14:textId="77777777"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Berdasarkan penjelasan diatas dapat diketahui bahwa perbuatan memaksa memiliki arti dan makna yang cendurung mengarah pada kekerasan atau ancaman kekerasan. Berbeda dengan memaksa, perbuatan bujuk rayu lebih cendurung pada memikat atau membohongi seseorang agar tercapai tujuan dari orang yang melakukan bujuk rayu. Pada bujuk rayu tidak terdapat arti atau makna yang mengarah pada kekerasan atau ancaman kekerasan.</w:t>
      </w:r>
    </w:p>
    <w:p w14:paraId="52DD524E" w14:textId="77777777"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Pada konsepnya bujuk rayu berbeda dengan perbuatan memaksa, karena hasil akhir dari perbuatan bujuk rayu adalah seseorang yang terkena bujuk rayu akan melakukan atau memenuhi tujuan dari orang yang menggunakan bujuk rayu padanya. Sedangkan</w:t>
      </w:r>
      <w:r w:rsidR="007A3F97" w:rsidRPr="008D3831">
        <w:rPr>
          <w:rFonts w:eastAsia="Times New Roman"/>
          <w:lang w:val="id-ID"/>
        </w:rPr>
        <w:t>,</w:t>
      </w:r>
      <w:r w:rsidRPr="008D3831">
        <w:rPr>
          <w:rFonts w:eastAsia="Times New Roman"/>
          <w:lang w:val="id-ID"/>
        </w:rPr>
        <w:t xml:space="preserve"> dalam perbuatan memaksa seseorang yang dipaksa akan melakukan atau memenuhi tujuan dari orang yang memaksa dengan perasaan terpaksa dan bukan karena keinginannya sendiri. Oleh karena itu bujuk rayu dan perbuatan memaksa tidak dapat disamakan.</w:t>
      </w:r>
    </w:p>
    <w:p w14:paraId="0FAB6137" w14:textId="77777777"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Dalam putusan hakim pada Putusan Pengadilan Tinggi Bengkulu 12/PID/2015/PT.BGL, terdakwa tidak dapat dikatakan melakukan perbuatan karena dalam percakapan antara terdakwa dengan saksi korban berakhir dengan sebuah kesepakatan.</w:t>
      </w:r>
    </w:p>
    <w:p w14:paraId="3CBD3D84" w14:textId="77777777" w:rsidR="00B75AA8" w:rsidRPr="008D3831" w:rsidRDefault="005761E2" w:rsidP="0048135E">
      <w:pPr>
        <w:spacing w:line="276" w:lineRule="auto"/>
        <w:ind w:right="27" w:firstLine="426"/>
        <w:contextualSpacing/>
        <w:jc w:val="both"/>
        <w:rPr>
          <w:rFonts w:eastAsia="Times New Roman"/>
          <w:lang w:val="id-ID"/>
        </w:rPr>
      </w:pPr>
      <w:r w:rsidRPr="008D3831">
        <w:rPr>
          <w:rFonts w:eastAsia="Times New Roman"/>
          <w:lang w:val="id-ID"/>
        </w:rPr>
        <w:t>“</w:t>
      </w:r>
      <w:r w:rsidRPr="008D3831">
        <w:rPr>
          <w:rFonts w:eastAsia="Times New Roman"/>
          <w:i/>
          <w:lang w:val="id-ID"/>
        </w:rPr>
        <w:t>dek kito ke hotel ajo, dak lemak tengok orang</w:t>
      </w:r>
      <w:r w:rsidR="007A3F97" w:rsidRPr="008D3831">
        <w:rPr>
          <w:rFonts w:eastAsia="Times New Roman"/>
          <w:lang w:val="id-ID"/>
        </w:rPr>
        <w:t>” lalu dijawab oleh korban N</w:t>
      </w:r>
      <w:r w:rsidRPr="008D3831">
        <w:rPr>
          <w:rFonts w:eastAsia="Times New Roman"/>
          <w:lang w:val="id-ID"/>
        </w:rPr>
        <w:t>arti: “ngapoi kak ke hotel?”  lalu terdakwa jawab: “</w:t>
      </w:r>
      <w:r w:rsidRPr="008D3831">
        <w:rPr>
          <w:rFonts w:eastAsia="Times New Roman"/>
          <w:i/>
          <w:lang w:val="id-ID"/>
        </w:rPr>
        <w:t>maso adek dak ngerti</w:t>
      </w:r>
      <w:r w:rsidRPr="008D3831">
        <w:rPr>
          <w:rFonts w:eastAsia="Times New Roman"/>
          <w:lang w:val="id-ID"/>
        </w:rPr>
        <w:t>” lalu dijawab lagi oleh saksi korban narti: “</w:t>
      </w:r>
      <w:r w:rsidRPr="008D3831">
        <w:rPr>
          <w:rFonts w:eastAsia="Times New Roman"/>
          <w:i/>
          <w:lang w:val="id-ID"/>
        </w:rPr>
        <w:t>tapi aku dak pernah ngelakukan itu sebelumnyo</w:t>
      </w:r>
      <w:r w:rsidRPr="008D3831">
        <w:rPr>
          <w:rFonts w:eastAsia="Times New Roman"/>
          <w:lang w:val="id-ID"/>
        </w:rPr>
        <w:t>” lalu terdakwa jawab lagi : “</w:t>
      </w:r>
      <w:r w:rsidRPr="008D3831">
        <w:rPr>
          <w:rFonts w:eastAsia="Times New Roman"/>
          <w:i/>
          <w:lang w:val="id-ID"/>
        </w:rPr>
        <w:t>kalo adek memang sayang samo kakak, jangankan keperawanan adek, nyawo adek pasti adek kasih</w:t>
      </w:r>
      <w:r w:rsidRPr="008D3831">
        <w:rPr>
          <w:rFonts w:eastAsia="Times New Roman"/>
          <w:lang w:val="id-ID"/>
        </w:rPr>
        <w:t>” lalu dijawab korban narti :”</w:t>
      </w:r>
      <w:r w:rsidRPr="008D3831">
        <w:rPr>
          <w:rFonts w:eastAsia="Times New Roman"/>
          <w:i/>
          <w:lang w:val="id-ID"/>
        </w:rPr>
        <w:t>tapi kakak janji, kalo udah adek kasih, kakak jangan tinggalkan adek yo</w:t>
      </w:r>
      <w:r w:rsidRPr="008D3831">
        <w:rPr>
          <w:rFonts w:eastAsia="Times New Roman"/>
          <w:lang w:val="id-ID"/>
        </w:rPr>
        <w:t>” lalu terdakwa jawab : “</w:t>
      </w:r>
      <w:r w:rsidRPr="008D3831">
        <w:rPr>
          <w:rFonts w:eastAsia="Times New Roman"/>
          <w:i/>
          <w:lang w:val="id-ID"/>
        </w:rPr>
        <w:t>iyo</w:t>
      </w:r>
      <w:r w:rsidRPr="008D3831">
        <w:rPr>
          <w:rFonts w:eastAsia="Times New Roman"/>
          <w:lang w:val="id-ID"/>
        </w:rPr>
        <w:t>”</w:t>
      </w:r>
      <w:r w:rsidR="007A3F97" w:rsidRPr="008D3831">
        <w:rPr>
          <w:rFonts w:eastAsia="Times New Roman"/>
          <w:lang w:val="id-ID"/>
        </w:rPr>
        <w:t>.</w:t>
      </w:r>
    </w:p>
    <w:p w14:paraId="42EDD62E" w14:textId="77777777"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 xml:space="preserve">Berdasarkan percakapan diatas dapat diketahui bahwa perbuatan bujuk rayu di dalam percakapan tersebut bukanlah perbuatan memaksa seperti yang disampaikan majelis hakim, karena di dalam percakapan tersebut terjadi kesepakatan antara terdakwa dengan saksi korban pada akhir percakapan. Janji terdakwa untuk tidak meninggalkan saksi korban adalah upaya untuk memikat hati saksi korban </w:t>
      </w:r>
      <w:r w:rsidR="007A3F97" w:rsidRPr="008D3831">
        <w:rPr>
          <w:rFonts w:eastAsia="Times New Roman"/>
          <w:lang w:val="id-ID"/>
        </w:rPr>
        <w:t>Sunarti</w:t>
      </w:r>
      <w:r w:rsidRPr="008D3831">
        <w:rPr>
          <w:rFonts w:eastAsia="Times New Roman"/>
          <w:lang w:val="id-ID"/>
        </w:rPr>
        <w:t>.</w:t>
      </w:r>
    </w:p>
    <w:p w14:paraId="393E8BC3" w14:textId="77777777"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 xml:space="preserve">Selain itu melihat dari keterangan-keterangan saksi korban yang memberikan penjelasan bahwa terdakwa melakukan perbuatan memaksa, terlihat bahwa </w:t>
      </w:r>
      <w:r w:rsidRPr="008D3831">
        <w:rPr>
          <w:rFonts w:eastAsia="Times New Roman"/>
          <w:lang w:val="id-ID"/>
        </w:rPr>
        <w:lastRenderedPageBreak/>
        <w:t xml:space="preserve">keterangan yang diberikan oleh saksi korban tidak relevan dan tidak sesuai fakta. Hal ini dikarenakan keterangan saksi korban terbantahkan oleh keterangan saksi M. Ali Hamka selaku karyawan hotel dan keterangan ahli dr. Deddy Fitri, SpOG. </w:t>
      </w:r>
    </w:p>
    <w:p w14:paraId="2F8484A5" w14:textId="0608E752"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 xml:space="preserve">Dalam keterangannya saksi karyawan hotel mengatakan bahwa tidak jauh dari kamar yang disewa terdakwa terdapat mess karyawan yang terdapat tiga orang teman saksi didalamnya pada saat itu dan pada malam hari tersebut saksi tidak mendengar adanya teriakan atau kegaduhan dari kamar yang disewa terdakwa begitu juga dengan teman saksi. Kemudian ahli dr. Deddy Fitri, SpOG menjelaskan bahwa pendarahan dia area vagina tersebut </w:t>
      </w:r>
      <w:r w:rsidR="008D3831" w:rsidRPr="008D3831">
        <w:rPr>
          <w:rFonts w:eastAsia="Times New Roman"/>
          <w:lang w:val="id-ID"/>
        </w:rPr>
        <w:t>dapat</w:t>
      </w:r>
      <w:r w:rsidRPr="008D3831">
        <w:rPr>
          <w:rFonts w:eastAsia="Times New Roman"/>
          <w:lang w:val="id-ID"/>
        </w:rPr>
        <w:t xml:space="preserve"> terjadi akibat aktivitas hubungan seksual yang dilakukan oleh saksi korban tidak dalam kondisi rileks saat melakukan hubungan seksual tersebut, </w:t>
      </w:r>
      <w:r w:rsidR="00D22624" w:rsidRPr="008D3831">
        <w:rPr>
          <w:rFonts w:eastAsia="Times New Roman"/>
          <w:lang w:val="id-ID"/>
        </w:rPr>
        <w:t>bisa</w:t>
      </w:r>
      <w:r w:rsidRPr="008D3831">
        <w:rPr>
          <w:rFonts w:eastAsia="Times New Roman"/>
          <w:lang w:val="id-ID"/>
        </w:rPr>
        <w:t xml:space="preserve"> jadi karena rasa takut, malu, dan perasaan tegang lainnya.</w:t>
      </w:r>
    </w:p>
    <w:p w14:paraId="09E16864" w14:textId="77777777"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Mengingat dalam kasus ini saksi korban baru pertama kali melakukan hubungan seksual maka dapat disimpulkan bahwa penyebab luka robek pada area vagina adalah karena saat berhubungan seksual saksi korban dalam keadaan malu dan tegang, bukan karena adanya kekerasan, ancaman kekerasan, maupun pemaksaan. Pernyataan ini sekaligus membantah pertimbangan hakim yang menyatakan bahwa luka robek pada area vagina merupakan bukti jika persetebuhan antara terdakwa dengan saksi korban tidak diinginkan oleh saksi korban.</w:t>
      </w:r>
    </w:p>
    <w:p w14:paraId="276E6B84" w14:textId="77777777"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Selanjutnya majelis hakim dalam putusannya berpendapat “</w:t>
      </w:r>
      <w:r w:rsidRPr="008D3831">
        <w:rPr>
          <w:rFonts w:eastAsia="Times New Roman"/>
          <w:i/>
          <w:lang w:val="id-ID"/>
        </w:rPr>
        <w:t>bahwa kata cinta yang disampaikan terdakwa tersebut diatas ternyata adalah merupakan kata-kata bohong agar saksi korban mau disetubuhi terdakwa, hal ini dapat dibuktikan dari keterangan terdakwa yang menyatakan “janji saksi yang tidak akan meninggalkan saksi korban setelah saksi korban menyerahkan keperawanannya kepada terdakwa. Hal tersebut hanya rayuan dalam hubungan pacaran saja</w:t>
      </w:r>
      <w:r w:rsidRPr="008D3831">
        <w:rPr>
          <w:rFonts w:eastAsia="Times New Roman"/>
          <w:lang w:val="id-ID"/>
        </w:rPr>
        <w:t xml:space="preserve">”.  Dalam hal ini majelis hakim </w:t>
      </w:r>
      <w:r w:rsidR="003F71BF" w:rsidRPr="008D3831">
        <w:rPr>
          <w:rFonts w:eastAsia="Times New Roman"/>
          <w:lang w:val="id-ID"/>
        </w:rPr>
        <w:t xml:space="preserve">dianggap tepat </w:t>
      </w:r>
      <w:r w:rsidRPr="008D3831">
        <w:rPr>
          <w:rFonts w:eastAsia="Times New Roman"/>
          <w:lang w:val="id-ID"/>
        </w:rPr>
        <w:t>karena janji terdakwa kepada saksi korban adalah upaya untuk memikat hati saksi korban sehingga terjadilah kesepakatan antara terdakwa dengan korban.</w:t>
      </w:r>
    </w:p>
    <w:p w14:paraId="521F80B7" w14:textId="77777777" w:rsidR="003F71BF"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Kemudian Majelis Hakim Tingkat Banding mempertimbangkan: “</w:t>
      </w:r>
      <w:r w:rsidRPr="008D3831">
        <w:rPr>
          <w:rFonts w:eastAsia="Times New Roman"/>
          <w:i/>
          <w:lang w:val="id-ID"/>
        </w:rPr>
        <w:t xml:space="preserve">bahwa berdasarkan pertimbangan-pertimbangan diatas majelis hakim tingkat banding berpendapat bahwa meskipun keterangan terdakwa melakukan persetubuhan atas dasar suka sama suka, namun berdasarkan keterangan saksi korban yang dihubungkan dengan Visum Et Repertum Nomor  VER/04/IX/2014 tertanggal 02 September 2014 atas nama </w:t>
      </w:r>
      <w:r w:rsidR="007A3F97" w:rsidRPr="008D3831">
        <w:rPr>
          <w:rFonts w:eastAsia="Times New Roman"/>
          <w:i/>
          <w:lang w:val="id-ID"/>
        </w:rPr>
        <w:t>Sunarti</w:t>
      </w:r>
      <w:r w:rsidRPr="008D3831">
        <w:rPr>
          <w:rFonts w:eastAsia="Times New Roman"/>
          <w:i/>
          <w:lang w:val="id-ID"/>
        </w:rPr>
        <w:t xml:space="preserve"> Martini dan keterangan ahli dipersidangan telah dapat dijadikan sebagai bukti bahwa terdakwa “memaksa” saksi korban </w:t>
      </w:r>
      <w:r w:rsidRPr="008D3831">
        <w:rPr>
          <w:rFonts w:eastAsia="Times New Roman"/>
          <w:i/>
          <w:lang w:val="id-ID"/>
        </w:rPr>
        <w:lastRenderedPageBreak/>
        <w:t>melakukan persetubuhan dengan terdakwa</w:t>
      </w:r>
      <w:r w:rsidRPr="008D3831">
        <w:rPr>
          <w:rFonts w:eastAsia="Times New Roman"/>
          <w:lang w:val="id-ID"/>
        </w:rPr>
        <w:t>”. Keterangan saksi korban yang digunakan majelis hakim tingkat banding dalam pertimbangannya tersebut tidak tepat dan tidak relevan. Keterangan saksi korban banyak yang bertentangan dengan fakta-fakta yuridis dalam Putusan Pengadilan Negeri Bengkulu Nomor 410/Pid.B/2014/PN.BGL, seperti:</w:t>
      </w:r>
    </w:p>
    <w:p w14:paraId="1D99DD8D" w14:textId="77777777" w:rsidR="003F71BF" w:rsidRPr="008D3831" w:rsidRDefault="003F71BF" w:rsidP="0048135E">
      <w:pPr>
        <w:spacing w:line="276" w:lineRule="auto"/>
        <w:ind w:right="27" w:firstLine="426"/>
        <w:contextualSpacing/>
        <w:jc w:val="both"/>
        <w:rPr>
          <w:rFonts w:eastAsia="Times New Roman"/>
          <w:lang w:val="id-ID"/>
        </w:rPr>
      </w:pPr>
      <w:r w:rsidRPr="008D3831">
        <w:rPr>
          <w:rFonts w:eastAsia="Times New Roman"/>
          <w:lang w:val="id-ID"/>
        </w:rPr>
        <w:t>“</w:t>
      </w:r>
      <w:r w:rsidR="00B75AA8" w:rsidRPr="008D3831">
        <w:rPr>
          <w:rFonts w:eastAsia="Times New Roman"/>
          <w:lang w:val="id-ID"/>
        </w:rPr>
        <w:t>Bahwa benar terdakwa dan saksi korban duduk diatas tempat  tidur kemudian terdakwa menyuruh saksi korban membuka celana levis dan celana dalam saksi korban sedangkan terdakwa membuka celana panjang dan celana dalam terdakwa.</w:t>
      </w:r>
      <w:r w:rsidRPr="008D3831">
        <w:rPr>
          <w:rFonts w:eastAsia="Times New Roman"/>
          <w:lang w:val="id-ID"/>
        </w:rPr>
        <w:t>”</w:t>
      </w:r>
    </w:p>
    <w:p w14:paraId="32D5215F" w14:textId="77777777" w:rsidR="003F71BF" w:rsidRPr="008D3831" w:rsidRDefault="003F71BF" w:rsidP="0048135E">
      <w:pPr>
        <w:spacing w:line="276" w:lineRule="auto"/>
        <w:ind w:right="27" w:firstLine="426"/>
        <w:contextualSpacing/>
        <w:jc w:val="both"/>
        <w:rPr>
          <w:rFonts w:eastAsia="Times New Roman"/>
          <w:lang w:val="id-ID"/>
        </w:rPr>
      </w:pPr>
      <w:r w:rsidRPr="008D3831">
        <w:rPr>
          <w:rFonts w:eastAsia="Times New Roman"/>
          <w:lang w:val="id-ID"/>
        </w:rPr>
        <w:t>“</w:t>
      </w:r>
      <w:r w:rsidR="00B75AA8" w:rsidRPr="008D3831">
        <w:rPr>
          <w:rFonts w:eastAsia="Times New Roman"/>
          <w:lang w:val="id-ID"/>
        </w:rPr>
        <w:t>Bahwa benar terdakwa dan saksi korban berciuman dan sewaktu terdakwa akan memasukkan penis terdakwa ke dalam vagina saksi korban kembali saksi korban mengatakan kepada terdakwa untuk tidak tinggalkan saksi korban setelah keperawanan saksi korban diberikan kepada terdakwa, “</w:t>
      </w:r>
      <w:r w:rsidR="005761E2" w:rsidRPr="008D3831">
        <w:rPr>
          <w:rFonts w:eastAsia="Times New Roman"/>
          <w:i/>
          <w:lang w:val="id-ID"/>
        </w:rPr>
        <w:t>jangan nian pernah tinggali adek yo setelah adek kasih ini, awas kalo sampai kakak ninggali adek</w:t>
      </w:r>
      <w:r w:rsidR="007A3F97" w:rsidRPr="008D3831">
        <w:rPr>
          <w:rFonts w:eastAsia="Times New Roman"/>
          <w:i/>
          <w:lang w:val="id-ID"/>
        </w:rPr>
        <w:t>.</w:t>
      </w:r>
      <w:r w:rsidR="00B75AA8" w:rsidRPr="008D3831">
        <w:rPr>
          <w:rFonts w:eastAsia="Times New Roman"/>
          <w:lang w:val="id-ID"/>
        </w:rPr>
        <w:t>”</w:t>
      </w:r>
    </w:p>
    <w:p w14:paraId="356E075D" w14:textId="77777777" w:rsidR="00B75AA8" w:rsidRPr="008D3831" w:rsidRDefault="003F71BF" w:rsidP="0048135E">
      <w:pPr>
        <w:spacing w:line="276" w:lineRule="auto"/>
        <w:ind w:right="27" w:firstLine="426"/>
        <w:contextualSpacing/>
        <w:jc w:val="both"/>
        <w:rPr>
          <w:rFonts w:eastAsia="Times New Roman"/>
          <w:lang w:val="id-ID"/>
        </w:rPr>
      </w:pPr>
      <w:r w:rsidRPr="008D3831">
        <w:rPr>
          <w:rFonts w:eastAsia="Times New Roman"/>
          <w:lang w:val="id-ID"/>
        </w:rPr>
        <w:t>“</w:t>
      </w:r>
      <w:r w:rsidR="00B75AA8" w:rsidRPr="008D3831">
        <w:rPr>
          <w:rFonts w:eastAsia="Times New Roman"/>
          <w:lang w:val="id-ID"/>
        </w:rPr>
        <w:t>Bahwa benar terdakwa memasukkan kemaluan terdakwa ke dalam kemaluan saksi korban dengan dibantu saksi korban yang ikut memegang penis terdakwa mengarahkan kemaluan terdakwa ke dalam kemaluan saksi korban.</w:t>
      </w:r>
      <w:r w:rsidRPr="008D3831">
        <w:rPr>
          <w:rFonts w:eastAsia="Times New Roman"/>
          <w:lang w:val="id-ID"/>
        </w:rPr>
        <w:t>”</w:t>
      </w:r>
    </w:p>
    <w:p w14:paraId="591D4A0F" w14:textId="77777777"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 xml:space="preserve">Berdasarkan fakta yuridis dari Putusan Pengadilan Negeri Bengkulu Nomor 410/Pid.B/2014/PN.BGL tersebut, maka pertimbangan hakim tingkat banding yang menggunakan keterangan saksi korban </w:t>
      </w:r>
      <w:r w:rsidR="007A3F97" w:rsidRPr="008D3831">
        <w:rPr>
          <w:rFonts w:eastAsia="Times New Roman"/>
          <w:lang w:val="id-ID"/>
        </w:rPr>
        <w:t>Sunarti</w:t>
      </w:r>
      <w:r w:rsidRPr="008D3831">
        <w:rPr>
          <w:rFonts w:eastAsia="Times New Roman"/>
          <w:lang w:val="id-ID"/>
        </w:rPr>
        <w:t xml:space="preserve"> sebagai bukti bahwa terdakwa “memaksa” saksi korban berhubungan badan adalah tidak tepat. Sehingga unsur “dengan kekerasan atau ancaman kekerasan memaksa seorang wanita bersetubuh dengan dia diluar perkawinan” tidak terpenuhi. Maka dari itu, berdasarkan penjelasan-penjelasan diatas perbuatan bujuk rayu yang dilakukan terdakwa dalam Putusan Pengadilan Tinggi Bengkulu Nomor 12/PID/2015/PT.BGL bukan merupakan unsur memaksa dalam KUHP.</w:t>
      </w:r>
    </w:p>
    <w:p w14:paraId="53AF0208" w14:textId="77777777"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 xml:space="preserve">Perbuatan terdakwa tidak melanggar </w:t>
      </w:r>
      <w:r w:rsidR="005061F6" w:rsidRPr="008D3831">
        <w:rPr>
          <w:rFonts w:eastAsia="Times New Roman"/>
          <w:lang w:val="id-ID"/>
        </w:rPr>
        <w:t>Pasal</w:t>
      </w:r>
      <w:r w:rsidRPr="008D3831">
        <w:rPr>
          <w:rFonts w:eastAsia="Times New Roman"/>
          <w:lang w:val="id-ID"/>
        </w:rPr>
        <w:t xml:space="preserve"> 285 KUHP, karena tidak ditemukan unsur-unsur memaksa dalam </w:t>
      </w:r>
      <w:r w:rsidR="005061F6" w:rsidRPr="008D3831">
        <w:rPr>
          <w:rFonts w:eastAsia="Times New Roman"/>
          <w:lang w:val="id-ID"/>
        </w:rPr>
        <w:t>Pasal</w:t>
      </w:r>
      <w:r w:rsidRPr="008D3831">
        <w:rPr>
          <w:rFonts w:eastAsia="Times New Roman"/>
          <w:lang w:val="id-ID"/>
        </w:rPr>
        <w:t xml:space="preserve"> 285 KUHP. Akan tetapi jika dikaitkan dengan konteks kekuasan kehakiman, ketika hakim dihadapkan pada keadaan mengadili suatu perbuatan yang tidak memiliki dasar hukum atau pengaturan hukum yang tidak jelas (kabur). Maka, hakim selaku penegak hukum tidak dapat menolak untuk memeriksa dan mengadili kasus tersebut dengan dalih tidak ada hukum yang mengatur. Sesusai dalam </w:t>
      </w:r>
      <w:r w:rsidR="005061F6" w:rsidRPr="008D3831">
        <w:rPr>
          <w:rFonts w:eastAsia="Times New Roman"/>
          <w:lang w:val="id-ID"/>
        </w:rPr>
        <w:t>Pasal</w:t>
      </w:r>
      <w:r w:rsidRPr="008D3831">
        <w:rPr>
          <w:rFonts w:eastAsia="Times New Roman"/>
          <w:lang w:val="id-ID"/>
        </w:rPr>
        <w:t xml:space="preserve"> 10 ayat (1) Undang-Undang Nomor 49 Tahun 2009 yang berbunyi:</w:t>
      </w:r>
    </w:p>
    <w:p w14:paraId="7BEDCBE9" w14:textId="77777777" w:rsidR="00B75AA8" w:rsidRPr="008D3831" w:rsidRDefault="00B75AA8" w:rsidP="0048135E">
      <w:pPr>
        <w:spacing w:line="276" w:lineRule="auto"/>
        <w:ind w:left="426" w:firstLine="425"/>
        <w:jc w:val="both"/>
        <w:rPr>
          <w:rFonts w:eastAsia="Times New Roman"/>
          <w:lang w:val="id-ID"/>
        </w:rPr>
      </w:pPr>
      <w:r w:rsidRPr="008D3831">
        <w:rPr>
          <w:rFonts w:eastAsia="Times New Roman"/>
          <w:i/>
          <w:lang w:val="id-ID"/>
        </w:rPr>
        <w:t xml:space="preserve"> “Pengadilan tidak boleh menolak untuk memeriksa dan mengadili sesuatu perkara yang diajukan dengan dalih bahwa hukum tidak atau </w:t>
      </w:r>
      <w:r w:rsidRPr="008D3831">
        <w:rPr>
          <w:rFonts w:eastAsia="Times New Roman"/>
          <w:i/>
          <w:lang w:val="id-ID"/>
        </w:rPr>
        <w:lastRenderedPageBreak/>
        <w:t>kurang jelas, melainkan wajib untuk memeriksa dan mengadilinya.”</w:t>
      </w:r>
    </w:p>
    <w:p w14:paraId="6CB4B622" w14:textId="77777777"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 xml:space="preserve">Juncto </w:t>
      </w:r>
      <w:r w:rsidR="005061F6" w:rsidRPr="008D3831">
        <w:rPr>
          <w:rFonts w:eastAsia="Times New Roman"/>
          <w:lang w:val="id-ID"/>
        </w:rPr>
        <w:t>Pasal</w:t>
      </w:r>
      <w:r w:rsidRPr="008D3831">
        <w:rPr>
          <w:rFonts w:eastAsia="Times New Roman"/>
          <w:lang w:val="id-ID"/>
        </w:rPr>
        <w:t xml:space="preserve"> 5 ayat (1) Undang-Undang Nomor 49 Tahun 2009 yang berbunyi:</w:t>
      </w:r>
    </w:p>
    <w:p w14:paraId="6BBC265E" w14:textId="77777777" w:rsidR="00B75AA8" w:rsidRPr="008D3831" w:rsidRDefault="00B75AA8" w:rsidP="0048135E">
      <w:pPr>
        <w:spacing w:line="276" w:lineRule="auto"/>
        <w:ind w:left="426" w:firstLine="426"/>
        <w:jc w:val="both"/>
        <w:rPr>
          <w:rFonts w:eastAsia="Times New Roman"/>
          <w:lang w:val="id-ID"/>
        </w:rPr>
      </w:pPr>
      <w:r w:rsidRPr="008D3831">
        <w:rPr>
          <w:rFonts w:eastAsia="Times New Roman"/>
          <w:lang w:val="id-ID"/>
        </w:rPr>
        <w:t>“</w:t>
      </w:r>
      <w:r w:rsidRPr="008D3831">
        <w:rPr>
          <w:rFonts w:eastAsia="Times New Roman"/>
          <w:i/>
          <w:lang w:val="id-ID"/>
        </w:rPr>
        <w:t>Hakim dan hakim konstitusi wajib menggali, mengikuti, dan memahami nilai-nilai kehidupan yang hidup dalam masyarakat</w:t>
      </w:r>
      <w:r w:rsidR="007A3F97" w:rsidRPr="008D3831">
        <w:rPr>
          <w:rFonts w:eastAsia="Times New Roman"/>
          <w:i/>
          <w:lang w:val="id-ID"/>
        </w:rPr>
        <w:t>.</w:t>
      </w:r>
      <w:r w:rsidRPr="008D3831">
        <w:rPr>
          <w:rFonts w:eastAsia="Times New Roman"/>
          <w:lang w:val="id-ID"/>
        </w:rPr>
        <w:t>”</w:t>
      </w:r>
    </w:p>
    <w:p w14:paraId="2C18D345" w14:textId="6F8432C7" w:rsidR="005761E2"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Menurut Kusnu Goesniadhie S, keberlakukan UU No 48 Tahun 2009 tentang Kekuasaan Kehakiman memberikan batasan terhadap kebebasan tersebut yaitu sepanjang dalam tertentu terjadi pertentangan norma hukum, kekaburan, atau ketidakjelasan norma hukum</w:t>
      </w:r>
      <w:r w:rsidR="000A2D89" w:rsidRPr="008D3831">
        <w:rPr>
          <w:rFonts w:eastAsia="Times New Roman"/>
          <w:lang w:val="id-ID"/>
        </w:rPr>
        <w:t xml:space="preserve"> </w:t>
      </w:r>
      <w:r w:rsidR="000A2D89" w:rsidRPr="008D3831">
        <w:rPr>
          <w:rFonts w:eastAsia="Times New Roman"/>
          <w:lang w:val="id-ID"/>
        </w:rPr>
        <w:fldChar w:fldCharType="begin" w:fldLock="1"/>
      </w:r>
      <w:r w:rsidR="00D22624" w:rsidRPr="008D3831">
        <w:rPr>
          <w:rFonts w:eastAsia="Times New Roman"/>
          <w:lang w:val="id-ID"/>
        </w:rPr>
        <w:instrText>ADDIN CSL_CITATION {"citationItems":[{"id":"ITEM-1","itemData":{"abstract":"Putusan Pengadilan Negeri Bengkulu No. 410/Pid.B/2014/PN.Bgl memutuskan kasus perkosaan. Menimbang bahwa rayuan atau janji palsu merupakan makna perluasan dengan kekerasan atau ancaman kekerasan memaksa seorang wanita bersetubuh dengan dia di luar pernikahan. Pada hakikatnya tindak pidana perkosaan diatur dalam pasal 285 KUHP, dimana memberikan unsur-unsur yaitu perbuatanya memaksa, caranya (1) dengan kekerasan ataupun (2) ancaman kekerasan, objeknya seorang perempuan bukan istrinya, bersetubuh dengan dia. Apabila pertimbangan atas Putusan Pengadilan Negeri Bengkulu tersebut tidak dilakukan penafsiran secara gramatikal dan penafsiran secara sistematika secara mendalam, maka putusan tersebut menimbulkan ketidakjelasan (multitafsir).","author":[{"dropping-particle":"","family":"Satriyo Ekoris Sampurno","given":"","non-dropping-particle":"","parse-names":false,"suffix":""}],"id":"ITEM-1","issued":{"date-parts":[["2015"]]},"page":"1-19","title":"Analisis Yuridis Putusan Pengadilan Negeri Bengkulu Nomor 410/Pid.B/2014/PN.BGL Tentang Tindak Pidana perkosaan","type":"article-journal"},"uris":["http://www.mendeley.com/documents/?uuid=d029ea33-b524-4777-bdba-5deb09d776fe"]}],"mendeley":{"formattedCitation":"(Satriyo Ekoris Sampurno 2015)","plainTextFormattedCitation":"(Satriyo Ekoris Sampurno 2015)","previouslyFormattedCitation":"(Satriyo Ekoris Sampurno 2015)"},"properties":{"noteIndex":0},"schema":"https://github.com/citation-style-language/schema/raw/master/csl-citation.json"}</w:instrText>
      </w:r>
      <w:r w:rsidR="000A2D89" w:rsidRPr="008D3831">
        <w:rPr>
          <w:rFonts w:eastAsia="Times New Roman"/>
          <w:lang w:val="id-ID"/>
        </w:rPr>
        <w:fldChar w:fldCharType="separate"/>
      </w:r>
      <w:r w:rsidR="00D22624" w:rsidRPr="008D3831">
        <w:rPr>
          <w:rFonts w:eastAsia="Times New Roman"/>
          <w:noProof/>
          <w:lang w:val="id-ID"/>
        </w:rPr>
        <w:t>(Satriyo Ekoris Sampurno 2015)</w:t>
      </w:r>
      <w:r w:rsidR="000A2D89" w:rsidRPr="008D3831">
        <w:rPr>
          <w:rFonts w:eastAsia="Times New Roman"/>
          <w:lang w:val="id-ID"/>
        </w:rPr>
        <w:fldChar w:fldCharType="end"/>
      </w:r>
      <w:r w:rsidRPr="008D3831">
        <w:rPr>
          <w:rFonts w:eastAsia="Times New Roman"/>
          <w:lang w:val="id-ID"/>
        </w:rPr>
        <w:t xml:space="preserve">. Apabila melihat pada kasus terdahulu, terdapat putusan yang cukup menjadi perhatian khusus. Pada putusan Pengadilan Tinggi Medan Nomor 144/PID/1983/PT.Mdn yang dipimpin oleh Hakim Bismar Siregar sebagai ketua Majelis Hakim. Hakim Bismar menghukum seorang pria yang menghamili seorang wanita dengan tindak pidana penipuan yang diatur dalam </w:t>
      </w:r>
      <w:r w:rsidR="005061F6" w:rsidRPr="008D3831">
        <w:rPr>
          <w:rFonts w:eastAsia="Times New Roman"/>
          <w:lang w:val="id-ID"/>
        </w:rPr>
        <w:t>Pasal</w:t>
      </w:r>
      <w:r w:rsidRPr="008D3831">
        <w:rPr>
          <w:rFonts w:eastAsia="Times New Roman"/>
          <w:lang w:val="id-ID"/>
        </w:rPr>
        <w:t xml:space="preserve"> 378 KUHP, dengan hukuman penjara 3 (tiga) tahun penjara. </w:t>
      </w:r>
    </w:p>
    <w:p w14:paraId="4F6DBFEE" w14:textId="65CC84E9" w:rsidR="005761E2" w:rsidRPr="008D3831" w:rsidRDefault="005761E2" w:rsidP="0048135E">
      <w:pPr>
        <w:spacing w:line="276" w:lineRule="auto"/>
        <w:ind w:right="27" w:firstLine="426"/>
        <w:contextualSpacing/>
        <w:jc w:val="both"/>
        <w:rPr>
          <w:rFonts w:eastAsia="Times New Roman"/>
          <w:lang w:val="id-ID"/>
        </w:rPr>
      </w:pPr>
      <w:r w:rsidRPr="008D3831">
        <w:rPr>
          <w:rFonts w:eastAsia="Times New Roman"/>
          <w:lang w:val="id-ID"/>
        </w:rPr>
        <w:t>Hakim Bismar Siregar melakukan perluasan penafsiran kata ‘barang’; hal tersebut termasuk juga jasa. Hubungan senggama antara terdakwa dan saksi korban telah menguntungkan terdakwa, karena itu juga sudah menerima ‘jasa’ dari saksi korban. Merujuk pada bahasa Tapanuli, ‘barang’ sering dipakai untuk menyebut kemaluan. Sehingga ketika saksi korban menyerahkan kehormatannya akibat bujuk rayu terdakwa, berarti sama dengan menyerahkan barang</w:t>
      </w:r>
      <w:r w:rsidR="0075703E" w:rsidRPr="008D3831">
        <w:rPr>
          <w:rFonts w:eastAsia="Times New Roman"/>
          <w:lang w:val="id-ID"/>
        </w:rPr>
        <w:fldChar w:fldCharType="begin" w:fldLock="1"/>
      </w:r>
      <w:r w:rsidR="00D22624" w:rsidRPr="008D3831">
        <w:rPr>
          <w:rFonts w:eastAsia="Times New Roman"/>
          <w:lang w:val="id-ID"/>
        </w:rPr>
        <w:instrText>ADDIN CSL_CITATION {"citationItems":[{"id":"ITEM-1","itemData":{"author":[{"dropping-particle":"","family":"Sudirman","given":"Antonius","non-dropping-particle":"","parse-names":false,"suffix":""}],"id":"ITEM-1","issued":{"date-parts":[["2007"]]},"publisher":"PT. Citra Aditya Bakti","publisher-place":"Bandung","title":"HATI NURANI HAKIM DAN PUTUSANNYA (Suatu Pendekatan dari Perspektif Ilmu Hukum Perilaku (Behavioral Jurisprudence) Kasus Hakim Bismar Siregar)","type":"book"},"uris":["http://www.mendeley.com/documents/?uuid=be07b840-c48e-48c2-9633-d88a08010a09"]}],"mendeley":{"formattedCitation":"(Sudirman 2007)","plainTextFormattedCitation":"(Sudirman 2007)","previouslyFormattedCitation":"(Sudirman 2007)"},"properties":{"noteIndex":0},"schema":"https://github.com/citation-style-language/schema/raw/master/csl-citation.json"}</w:instrText>
      </w:r>
      <w:r w:rsidR="0075703E" w:rsidRPr="008D3831">
        <w:rPr>
          <w:rFonts w:eastAsia="Times New Roman"/>
          <w:lang w:val="id-ID"/>
        </w:rPr>
        <w:fldChar w:fldCharType="separate"/>
      </w:r>
      <w:r w:rsidR="00D22624" w:rsidRPr="008D3831">
        <w:rPr>
          <w:rFonts w:eastAsia="Times New Roman"/>
          <w:noProof/>
          <w:lang w:val="id-ID"/>
        </w:rPr>
        <w:t>(Sudirman 2007)</w:t>
      </w:r>
      <w:r w:rsidR="0075703E" w:rsidRPr="008D3831">
        <w:rPr>
          <w:rFonts w:eastAsia="Times New Roman"/>
          <w:lang w:val="id-ID"/>
        </w:rPr>
        <w:fldChar w:fldCharType="end"/>
      </w:r>
      <w:r w:rsidRPr="008D3831">
        <w:rPr>
          <w:rFonts w:eastAsia="Times New Roman"/>
          <w:lang w:val="id-ID"/>
        </w:rPr>
        <w:t>.</w:t>
      </w:r>
    </w:p>
    <w:p w14:paraId="4068DA56" w14:textId="7ABE53FF" w:rsidR="005761E2" w:rsidRPr="008D3831" w:rsidRDefault="005761E2" w:rsidP="0048135E">
      <w:pPr>
        <w:spacing w:line="276" w:lineRule="auto"/>
        <w:ind w:right="27" w:firstLine="426"/>
        <w:contextualSpacing/>
        <w:jc w:val="both"/>
        <w:rPr>
          <w:rFonts w:eastAsia="Times New Roman"/>
          <w:lang w:val="id-ID"/>
        </w:rPr>
      </w:pPr>
      <w:r w:rsidRPr="008D3831">
        <w:rPr>
          <w:rFonts w:eastAsia="Times New Roman"/>
          <w:lang w:val="id-ID"/>
        </w:rPr>
        <w:t xml:space="preserve">Hakim Bismar Siregar menjelaskan memberikan atau menyerahkan barang tertentu dipertimbangkan sebagai berikut. Bahwa sejalan dengan perkembangan teknologi modern dan kebudayaan, pengertian tentang “barang” ini semakin luas; Bahwa Pengadilan Tinggi khususnya dalam perkara ini akan memperluas juga pengertian tersebut di mana pengertian “barang” dalam </w:t>
      </w:r>
      <w:r w:rsidR="005061F6" w:rsidRPr="008D3831">
        <w:rPr>
          <w:rFonts w:eastAsia="Times New Roman"/>
          <w:lang w:val="id-ID"/>
        </w:rPr>
        <w:t>Pasal</w:t>
      </w:r>
      <w:r w:rsidRPr="008D3831">
        <w:rPr>
          <w:rFonts w:eastAsia="Times New Roman"/>
          <w:lang w:val="id-ID"/>
        </w:rPr>
        <w:t xml:space="preserve"> 378 dari KUHP ini termasuk juga “jasa”; Bahwa di dalam peristiwa yang terjadi ini seperti telah dipertimbangkan di atas saksi Katarina br. Siahaan telah mengijinkan terdakwa bersenggama dengan Katarina br. Siahaan</w:t>
      </w:r>
      <w:r w:rsidR="0075703E" w:rsidRPr="008D3831">
        <w:rPr>
          <w:rFonts w:eastAsia="Times New Roman"/>
          <w:lang w:val="id-ID"/>
        </w:rPr>
        <w:t xml:space="preserve"> dengan harapan untuk dikawini</w:t>
      </w:r>
      <w:r w:rsidR="0075703E" w:rsidRPr="008D3831">
        <w:rPr>
          <w:rFonts w:eastAsia="Times New Roman"/>
          <w:lang w:val="id-ID"/>
        </w:rPr>
        <w:fldChar w:fldCharType="begin" w:fldLock="1"/>
      </w:r>
      <w:r w:rsidR="00D22624" w:rsidRPr="008D3831">
        <w:rPr>
          <w:rFonts w:eastAsia="Times New Roman"/>
          <w:lang w:val="id-ID"/>
        </w:rPr>
        <w:instrText>ADDIN CSL_CITATION {"citationItems":[{"id":"ITEM-1","itemData":{"author":[{"dropping-particle":"","family":"Sudirman","given":"Antonius","non-dropping-particle":"","parse-names":false,"suffix":""}],"id":"ITEM-1","issued":{"date-parts":[["2007"]]},"publisher":"PT. Citra Aditya Bakti","publisher-place":"Bandung","title":"HATI NURANI HAKIM DAN PUTUSANNYA (Suatu Pendekatan dari Perspektif Ilmu Hukum Perilaku (Behavioral Jurisprudence) Kasus Hakim Bismar Siregar)","type":"book"},"uris":["http://www.mendeley.com/documents/?uuid=be07b840-c48e-48c2-9633-d88a08010a09"]}],"mendeley":{"formattedCitation":"(Sudirman 2007)","plainTextFormattedCitation":"(Sudirman 2007)","previouslyFormattedCitation":"(Sudirman 2007)"},"properties":{"noteIndex":0},"schema":"https://github.com/citation-style-language/schema/raw/master/csl-citation.json"}</w:instrText>
      </w:r>
      <w:r w:rsidR="0075703E" w:rsidRPr="008D3831">
        <w:rPr>
          <w:rFonts w:eastAsia="Times New Roman"/>
          <w:lang w:val="id-ID"/>
        </w:rPr>
        <w:fldChar w:fldCharType="separate"/>
      </w:r>
      <w:r w:rsidR="00D22624" w:rsidRPr="008D3831">
        <w:rPr>
          <w:rFonts w:eastAsia="Times New Roman"/>
          <w:noProof/>
          <w:lang w:val="id-ID"/>
        </w:rPr>
        <w:t>(Sudirman 2007)</w:t>
      </w:r>
      <w:r w:rsidR="0075703E" w:rsidRPr="008D3831">
        <w:rPr>
          <w:rFonts w:eastAsia="Times New Roman"/>
          <w:lang w:val="id-ID"/>
        </w:rPr>
        <w:fldChar w:fldCharType="end"/>
      </w:r>
      <w:r w:rsidR="0075703E" w:rsidRPr="008D3831">
        <w:rPr>
          <w:rFonts w:eastAsia="Times New Roman"/>
          <w:lang w:val="id-ID"/>
        </w:rPr>
        <w:t>.</w:t>
      </w:r>
    </w:p>
    <w:p w14:paraId="118CFD05" w14:textId="77777777" w:rsidR="005761E2" w:rsidRPr="008D3831" w:rsidRDefault="005761E2" w:rsidP="0048135E">
      <w:pPr>
        <w:spacing w:line="276" w:lineRule="auto"/>
        <w:ind w:right="27" w:firstLine="426"/>
        <w:contextualSpacing/>
        <w:jc w:val="both"/>
        <w:rPr>
          <w:rFonts w:eastAsia="Times New Roman"/>
          <w:lang w:val="id-ID"/>
        </w:rPr>
      </w:pPr>
      <w:r w:rsidRPr="008D3831">
        <w:rPr>
          <w:rFonts w:eastAsia="Times New Roman"/>
          <w:lang w:val="id-ID"/>
        </w:rPr>
        <w:t xml:space="preserve">Bahwa seperti dipertimbangkan di atas persenggamaan tersebut memberi keuntungan kepada terdakwa sehingga dalam hal  ini  Mertua Raja Sidabutar dianggap  telah menerima suatu “jasa” dari saksi Katarina br. Siahaan; Bahwa memang benar, dari segi hukum perdata perikatan hukum yang demikian adalah batal demi hukum karena bertentangan dengan undang-undang, sehingga walaupun ada cedera janji (wanprestasi) oleh terdakwa, hal ini tidak dapat digugat ganti rugi oleh saksi Katarina br. Siahaan, akan tetapi Pengadilan Tinggi berpendapat di bidang  pidana, </w:t>
      </w:r>
      <w:r w:rsidRPr="008D3831">
        <w:rPr>
          <w:rFonts w:eastAsia="Times New Roman"/>
          <w:lang w:val="id-ID"/>
        </w:rPr>
        <w:lastRenderedPageBreak/>
        <w:t>perbuatan cedera janji tetap dapat dipertanggungjawabkan kepada terdakwa; Bahwa juga mengenai sesuatu yang melekat bersatu dalam diri seseorang, dalam hal ini yang dimiliki saksi Katarina br. Siahaan, juga termasuk dalam pengertian “barang”, karena bukankah ia telah menyerahkan kehormatannya, karena janji, bila diterima disenggama akan dikawini terdakwa.</w:t>
      </w:r>
    </w:p>
    <w:p w14:paraId="68D3723E" w14:textId="77777777" w:rsidR="005761E2" w:rsidRPr="008D3831" w:rsidRDefault="005761E2" w:rsidP="0048135E">
      <w:pPr>
        <w:spacing w:line="276" w:lineRule="auto"/>
        <w:ind w:right="27" w:firstLine="426"/>
        <w:contextualSpacing/>
        <w:jc w:val="both"/>
        <w:rPr>
          <w:rFonts w:eastAsia="Times New Roman"/>
          <w:lang w:val="id-ID"/>
        </w:rPr>
      </w:pPr>
      <w:r w:rsidRPr="008D3831">
        <w:rPr>
          <w:rFonts w:eastAsia="Times New Roman"/>
          <w:lang w:val="id-ID"/>
        </w:rPr>
        <w:t>Putusan Hakim Bismar Siregar tersebut tidak dapat digunakan sebagai dasar karena Mahkamah Agung membatalkan putusan tersebut. Penyebab dibatalkan putusan tersebut karena Surat pengakuan 18 Maret 1978 yang dibuat terdakwa tak membuktikan adanya tipu muslihat atau rangkaian kebohongan, karena surat pengakuan dibuat setelah senggama dilakukan.</w:t>
      </w:r>
    </w:p>
    <w:p w14:paraId="12D2B507" w14:textId="77777777" w:rsidR="005761E2" w:rsidRPr="008D3831" w:rsidRDefault="005761E2" w:rsidP="0048135E">
      <w:pPr>
        <w:spacing w:line="276" w:lineRule="auto"/>
        <w:ind w:right="27" w:firstLine="426"/>
        <w:contextualSpacing/>
        <w:jc w:val="both"/>
        <w:rPr>
          <w:rFonts w:eastAsia="Times New Roman"/>
        </w:rPr>
      </w:pPr>
      <w:r w:rsidRPr="008D3831">
        <w:rPr>
          <w:rFonts w:eastAsia="Times New Roman"/>
          <w:lang w:val="id-ID"/>
        </w:rPr>
        <w:t xml:space="preserve">Penemuan hukum pidana yang dilakukan oleh Bismar Siregar dilakukan dengan berdasar pada sifat melawan hukum dalam fungsi positif sehingga digunakan interpretasi/penafsiran teleologis. Sifat melawan hukum dalam fungsi positif yaitu apabila perbuatan yang dilakukan tidak diatur dalam peraturan perundang-undangan, tetapi oleh nilai-nilai masyarakat perbuatan tersebut dianggap sebagai tindak pidana, maka dapat dipidana. Penggunaan penafsiran teleologis ini dapat menjadi alasan logis bagi hakim untuk melakukan penemuan hukum pidana. Seperti yang telah diterangkan dalam </w:t>
      </w:r>
      <w:r w:rsidR="005061F6" w:rsidRPr="008D3831">
        <w:rPr>
          <w:rFonts w:eastAsia="Times New Roman"/>
          <w:lang w:val="id-ID"/>
        </w:rPr>
        <w:t>Pasal</w:t>
      </w:r>
      <w:r w:rsidRPr="008D3831">
        <w:rPr>
          <w:rFonts w:eastAsia="Times New Roman"/>
          <w:lang w:val="id-ID"/>
        </w:rPr>
        <w:t xml:space="preserve"> 5 ayat (1) Undang-Undang Nomor 48 Tahun 2009 tentang Kekuasaan Kehakiman:</w:t>
      </w:r>
    </w:p>
    <w:p w14:paraId="387794BA" w14:textId="77777777" w:rsidR="005761E2" w:rsidRPr="008D3831" w:rsidRDefault="005761E2" w:rsidP="0048135E">
      <w:pPr>
        <w:spacing w:line="276" w:lineRule="auto"/>
        <w:ind w:left="426" w:firstLine="426"/>
        <w:jc w:val="both"/>
        <w:rPr>
          <w:rFonts w:eastAsia="Times New Roman"/>
          <w:lang w:val="id-ID"/>
        </w:rPr>
      </w:pPr>
      <w:r w:rsidRPr="008D3831">
        <w:rPr>
          <w:rFonts w:eastAsia="Times New Roman"/>
          <w:i/>
          <w:lang w:val="id-ID"/>
        </w:rPr>
        <w:t>“Hakim dan hakim konstitusi wajib menggali, mengikuti dan memahami nilai-nilai hukum dan rasa keadil</w:t>
      </w:r>
      <w:r w:rsidR="007A3F97" w:rsidRPr="008D3831">
        <w:rPr>
          <w:rFonts w:eastAsia="Times New Roman"/>
          <w:i/>
          <w:lang w:val="id-ID"/>
        </w:rPr>
        <w:t>an yang hidup dalam masyarakat.”</w:t>
      </w:r>
    </w:p>
    <w:p w14:paraId="5E916C79" w14:textId="77777777" w:rsidR="005761E2" w:rsidRPr="008D3831" w:rsidRDefault="005761E2" w:rsidP="007A3F97">
      <w:pPr>
        <w:spacing w:line="276" w:lineRule="auto"/>
        <w:ind w:right="27" w:firstLine="426"/>
        <w:contextualSpacing/>
        <w:jc w:val="both"/>
        <w:rPr>
          <w:rFonts w:eastAsia="Times New Roman"/>
          <w:lang w:val="id-ID"/>
        </w:rPr>
      </w:pPr>
      <w:r w:rsidRPr="008D3831">
        <w:rPr>
          <w:rFonts w:eastAsia="Times New Roman"/>
          <w:lang w:val="id-ID"/>
        </w:rPr>
        <w:t>Keputusan ini menjadi alasan pembenar atas penggunaan norma di dalam masyarakat sebagai dasar untuk menetukan keadilan sesuai kehendak masyarakat.</w:t>
      </w:r>
      <w:r w:rsidR="007A3F97" w:rsidRPr="008D3831">
        <w:rPr>
          <w:rFonts w:eastAsia="Times New Roman"/>
          <w:lang w:val="id-ID"/>
        </w:rPr>
        <w:t xml:space="preserve"> </w:t>
      </w:r>
      <w:r w:rsidRPr="008D3831">
        <w:rPr>
          <w:rFonts w:eastAsia="Times New Roman"/>
          <w:lang w:val="id-ID"/>
        </w:rPr>
        <w:t>Keputusan diatas merupakan salah satu bukti bahwa hakim dalam menjatuhkan putusan pengadilan harus didasarkan dengan dasar yang kuat sehingga dapat menjamin kepastian hukum.</w:t>
      </w:r>
    </w:p>
    <w:p w14:paraId="0BFB540C" w14:textId="289FEC4A" w:rsidR="003F71BF"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Dikatakan produk hukum baik apabila memenuhi 3 (tiga) tujuan hukum yaitu untuk mencapai kepastian hukum, keadilan, dan mencapai kemanfaatan</w:t>
      </w:r>
      <w:r w:rsidR="00D22624" w:rsidRPr="008D3831">
        <w:rPr>
          <w:rFonts w:eastAsia="Times New Roman"/>
          <w:lang w:val="id-ID"/>
        </w:rPr>
        <w:t xml:space="preserve"> </w:t>
      </w:r>
      <w:r w:rsidR="00D22624" w:rsidRPr="008D3831">
        <w:rPr>
          <w:rFonts w:eastAsia="Times New Roman"/>
          <w:lang w:val="id-ID"/>
        </w:rPr>
        <w:fldChar w:fldCharType="begin" w:fldLock="1"/>
      </w:r>
      <w:r w:rsidR="00D22624" w:rsidRPr="008D3831">
        <w:rPr>
          <w:rFonts w:eastAsia="Times New Roman"/>
          <w:lang w:val="id-ID"/>
        </w:rPr>
        <w:instrText>ADDIN CSL_CITATION {"citationItems":[{"id":"ITEM-1","itemData":{"abstract":"Putusan Pengadilan Negeri Bengkulu No. 410/Pid.B/2014/PN.Bgl memutuskan kasus perkosaan. Menimbang bahwa rayuan atau janji palsu merupakan makna perluasan dengan kekerasan atau ancaman kekerasan memaksa seorang wanita bersetubuh dengan dia di luar pernikahan. Pada hakikatnya tindak pidana perkosaan diatur dalam pasal 285 KUHP, dimana memberikan unsur-unsur yaitu perbuatanya memaksa, caranya (1) dengan kekerasan ataupun (2) ancaman kekerasan, objeknya seorang perempuan bukan istrinya, bersetubuh dengan dia. Apabila pertimbangan atas Putusan Pengadilan Negeri Bengkulu tersebut tidak dilakukan penafsiran secara gramatikal dan penafsiran secara sistematika secara mendalam, maka putusan tersebut menimbulkan ketidakjelasan (multitafsir).","author":[{"dropping-particle":"","family":"Satriyo Ekoris Sampurno","given":"","non-dropping-particle":"","parse-names":false,"suffix":""}],"id":"ITEM-1","issued":{"date-parts":[["2015"]]},"page":"1-19","title":"Analisis Yuridis Putusan Pengadilan Negeri Bengkulu Nomor 410/Pid.B/2014/PN.BGL Tentang Tindak Pidana perkosaan","type":"article-journal"},"uris":["http://www.mendeley.com/documents/?uuid=d029ea33-b524-4777-bdba-5deb09d776fe"]}],"mendeley":{"formattedCitation":"(Satriyo Ekoris Sampurno 2015)","plainTextFormattedCitation":"(Satriyo Ekoris Sampurno 2015)","previouslyFormattedCitation":"(Satriyo Ekoris Sampurno 2015)"},"properties":{"noteIndex":0},"schema":"https://github.com/citation-style-language/schema/raw/master/csl-citation.json"}</w:instrText>
      </w:r>
      <w:r w:rsidR="00D22624" w:rsidRPr="008D3831">
        <w:rPr>
          <w:rFonts w:eastAsia="Times New Roman"/>
          <w:lang w:val="id-ID"/>
        </w:rPr>
        <w:fldChar w:fldCharType="separate"/>
      </w:r>
      <w:r w:rsidR="00D22624" w:rsidRPr="008D3831">
        <w:rPr>
          <w:rFonts w:eastAsia="Times New Roman"/>
          <w:noProof/>
          <w:lang w:val="id-ID"/>
        </w:rPr>
        <w:t>(Satriyo Ekoris Sampurno 2015)</w:t>
      </w:r>
      <w:r w:rsidR="00D22624" w:rsidRPr="008D3831">
        <w:rPr>
          <w:rFonts w:eastAsia="Times New Roman"/>
          <w:lang w:val="id-ID"/>
        </w:rPr>
        <w:fldChar w:fldCharType="end"/>
      </w:r>
      <w:r w:rsidRPr="008D3831">
        <w:rPr>
          <w:rFonts w:eastAsia="Times New Roman"/>
          <w:lang w:val="id-ID"/>
        </w:rPr>
        <w:t>. Dalam hal ini tindakan Majelis Hakim tingkat banding yang mengadili terdakwa tidak memenuhi aspek tujuan hukum sebagai berikut:</w:t>
      </w:r>
      <w:r w:rsidR="003F71BF" w:rsidRPr="008D3831">
        <w:rPr>
          <w:rFonts w:eastAsia="Times New Roman"/>
          <w:lang w:val="id-ID"/>
        </w:rPr>
        <w:t xml:space="preserve"> </w:t>
      </w:r>
    </w:p>
    <w:p w14:paraId="43D40E07" w14:textId="77777777" w:rsidR="003F71BF" w:rsidRPr="008D3831" w:rsidRDefault="003F71BF" w:rsidP="0048135E">
      <w:pPr>
        <w:spacing w:line="276" w:lineRule="auto"/>
        <w:ind w:right="27" w:firstLine="426"/>
        <w:contextualSpacing/>
        <w:jc w:val="both"/>
        <w:rPr>
          <w:rFonts w:eastAsia="Times New Roman"/>
          <w:lang w:val="id-ID"/>
        </w:rPr>
      </w:pPr>
      <w:r w:rsidRPr="008D3831">
        <w:rPr>
          <w:rFonts w:eastAsia="Times New Roman"/>
          <w:lang w:val="id-ID"/>
        </w:rPr>
        <w:t>Satu, k</w:t>
      </w:r>
      <w:r w:rsidR="00B75AA8" w:rsidRPr="008D3831">
        <w:rPr>
          <w:rFonts w:eastAsia="Times New Roman"/>
          <w:lang w:val="id-ID"/>
        </w:rPr>
        <w:t xml:space="preserve">epastian Hukum, tindakan Majelis Hakim tingkat banding yang dalam pertimbangannya menggunakan perluasan makna </w:t>
      </w:r>
      <w:r w:rsidR="005061F6" w:rsidRPr="008D3831">
        <w:rPr>
          <w:rFonts w:eastAsia="Times New Roman"/>
          <w:lang w:val="id-ID"/>
        </w:rPr>
        <w:t>Pasal</w:t>
      </w:r>
      <w:r w:rsidR="00B75AA8" w:rsidRPr="008D3831">
        <w:rPr>
          <w:rFonts w:eastAsia="Times New Roman"/>
          <w:lang w:val="id-ID"/>
        </w:rPr>
        <w:t xml:space="preserve"> 285. Pada hakikatnya KUHP telah mengatur secara tegas unsur perkosaan adalah “adanya kekerasan dan ancaman kekerasan, memaksa”, tetapi dalam pertimbangannya Majelis Hakim tingkat banding memasukkan penggunaan rayuan ataupun janji-janji palsu sebagai perluasan dari unsur memaksa dari </w:t>
      </w:r>
      <w:r w:rsidR="005061F6" w:rsidRPr="008D3831">
        <w:rPr>
          <w:rFonts w:eastAsia="Times New Roman"/>
          <w:lang w:val="id-ID"/>
        </w:rPr>
        <w:t>Pasal</w:t>
      </w:r>
      <w:r w:rsidR="00B75AA8" w:rsidRPr="008D3831">
        <w:rPr>
          <w:rFonts w:eastAsia="Times New Roman"/>
          <w:lang w:val="id-ID"/>
        </w:rPr>
        <w:t xml:space="preserve"> 285 KUHP. </w:t>
      </w:r>
      <w:r w:rsidR="00B75AA8" w:rsidRPr="008D3831">
        <w:rPr>
          <w:rFonts w:eastAsia="Times New Roman"/>
          <w:lang w:val="id-ID"/>
        </w:rPr>
        <w:lastRenderedPageBreak/>
        <w:t>Jelas bahwa pertimbangan tersebut tidak bias menjamin kepastian hukum.</w:t>
      </w:r>
    </w:p>
    <w:p w14:paraId="392AE8D4" w14:textId="77777777" w:rsidR="003F71BF" w:rsidRPr="008D3831" w:rsidRDefault="003F71BF" w:rsidP="0048135E">
      <w:pPr>
        <w:spacing w:line="276" w:lineRule="auto"/>
        <w:ind w:right="27" w:firstLine="426"/>
        <w:contextualSpacing/>
        <w:jc w:val="both"/>
        <w:rPr>
          <w:rFonts w:eastAsia="Times New Roman"/>
          <w:lang w:val="id-ID"/>
        </w:rPr>
      </w:pPr>
      <w:r w:rsidRPr="008D3831">
        <w:rPr>
          <w:rFonts w:eastAsia="Times New Roman"/>
          <w:lang w:val="id-ID"/>
        </w:rPr>
        <w:t>Dua, k</w:t>
      </w:r>
      <w:r w:rsidR="00B75AA8" w:rsidRPr="008D3831">
        <w:rPr>
          <w:rFonts w:eastAsia="Times New Roman"/>
          <w:lang w:val="id-ID"/>
        </w:rPr>
        <w:t xml:space="preserve">eadilan hukum, Putusan Pengadilan Tinggi Bengkulu Nomor 12/PID/2015/PT.BGL tidak memberikan keadilan bagi terdakwa. Hal ini dikarenakan perbuatan yang dilakukan terdakwa tidak memenuhi unsur memaksa dalam </w:t>
      </w:r>
      <w:r w:rsidR="005061F6" w:rsidRPr="008D3831">
        <w:rPr>
          <w:rFonts w:eastAsia="Times New Roman"/>
          <w:lang w:val="id-ID"/>
        </w:rPr>
        <w:t>Pasal</w:t>
      </w:r>
      <w:r w:rsidR="00B75AA8" w:rsidRPr="008D3831">
        <w:rPr>
          <w:rFonts w:eastAsia="Times New Roman"/>
          <w:lang w:val="id-ID"/>
        </w:rPr>
        <w:t xml:space="preserve"> 285 KUHP juncto Putusan Mahkamah Konstitusi Nomor 1/PUU-XI/2013, yang mengubah </w:t>
      </w:r>
      <w:r w:rsidR="005061F6" w:rsidRPr="008D3831">
        <w:rPr>
          <w:rFonts w:eastAsia="Times New Roman"/>
          <w:lang w:val="id-ID"/>
        </w:rPr>
        <w:t>Pasal</w:t>
      </w:r>
      <w:r w:rsidR="00B75AA8" w:rsidRPr="008D3831">
        <w:rPr>
          <w:rFonts w:eastAsia="Times New Roman"/>
          <w:lang w:val="id-ID"/>
        </w:rPr>
        <w:t xml:space="preserve"> 335 ayat (1) angka 1 KUHP.</w:t>
      </w:r>
    </w:p>
    <w:p w14:paraId="3E32CF07" w14:textId="77777777" w:rsidR="00B75AA8" w:rsidRPr="008D3831" w:rsidRDefault="003F71BF" w:rsidP="0048135E">
      <w:pPr>
        <w:spacing w:line="276" w:lineRule="auto"/>
        <w:ind w:right="27" w:firstLine="426"/>
        <w:contextualSpacing/>
        <w:jc w:val="both"/>
        <w:rPr>
          <w:rFonts w:eastAsia="Times New Roman"/>
          <w:lang w:val="id-ID"/>
        </w:rPr>
      </w:pPr>
      <w:r w:rsidRPr="008D3831">
        <w:rPr>
          <w:rFonts w:eastAsia="Times New Roman"/>
          <w:lang w:val="id-ID"/>
        </w:rPr>
        <w:t>Tiga, k</w:t>
      </w:r>
      <w:r w:rsidR="00B75AA8" w:rsidRPr="008D3831">
        <w:rPr>
          <w:rFonts w:eastAsia="Times New Roman"/>
          <w:lang w:val="id-ID"/>
        </w:rPr>
        <w:t>emanfaatan hukum, dengan mengadili terdakwa</w:t>
      </w:r>
      <w:r w:rsidRPr="008D3831">
        <w:rPr>
          <w:rFonts w:eastAsia="Times New Roman"/>
          <w:lang w:val="id-ID"/>
        </w:rPr>
        <w:t xml:space="preserve"> akan</w:t>
      </w:r>
      <w:r w:rsidR="00B75AA8" w:rsidRPr="008D3831">
        <w:rPr>
          <w:rFonts w:eastAsia="Times New Roman"/>
          <w:lang w:val="id-ID"/>
        </w:rPr>
        <w:t xml:space="preserve"> terkesan memaksakan. Karena ditinjau dari aspek macam-macam perkosaan, teori penafsiran hukum, asas legalitas, kekuasaan kehakiman, maupun tujuan hukum perbuatan terdakwa bukanlah perbuatan yang memenuhi unsur memaksa dalam </w:t>
      </w:r>
      <w:r w:rsidR="005061F6" w:rsidRPr="008D3831">
        <w:rPr>
          <w:rFonts w:eastAsia="Times New Roman"/>
          <w:lang w:val="id-ID"/>
        </w:rPr>
        <w:t>Pasal</w:t>
      </w:r>
      <w:r w:rsidR="00B75AA8" w:rsidRPr="008D3831">
        <w:rPr>
          <w:rFonts w:eastAsia="Times New Roman"/>
          <w:lang w:val="id-ID"/>
        </w:rPr>
        <w:t xml:space="preserve"> 285 KUHP.</w:t>
      </w:r>
    </w:p>
    <w:p w14:paraId="3E3D1A5B" w14:textId="77777777" w:rsidR="003F71BF" w:rsidRPr="008D3831" w:rsidRDefault="003F71BF" w:rsidP="0048135E">
      <w:pPr>
        <w:spacing w:line="276" w:lineRule="auto"/>
        <w:ind w:right="27" w:firstLine="426"/>
        <w:contextualSpacing/>
        <w:jc w:val="both"/>
        <w:rPr>
          <w:rFonts w:eastAsia="Times New Roman"/>
          <w:lang w:val="id-ID"/>
        </w:rPr>
      </w:pPr>
      <w:r w:rsidRPr="008D3831">
        <w:rPr>
          <w:rFonts w:eastAsia="Times New Roman"/>
          <w:lang w:val="id-ID"/>
        </w:rPr>
        <w:t>P</w:t>
      </w:r>
      <w:r w:rsidR="00B75AA8" w:rsidRPr="008D3831">
        <w:rPr>
          <w:rFonts w:eastAsia="Times New Roman"/>
          <w:lang w:val="id-ID"/>
        </w:rPr>
        <w:t>erbuatan terdakwa lebih tepat pada perbuatan penipuan seperti yang dikemukakan hakim Bismar Siregar. Mengingat putusan Pengadilan Tinggi Medan Nomor 144/PID/1983/PT.Mdn yang dipimpin oleh Hakim Bismar Siregar yang pada putusannya untuk memenuhi unsur penipuan</w:t>
      </w:r>
      <w:r w:rsidR="007A3F97" w:rsidRPr="008D3831">
        <w:rPr>
          <w:rFonts w:eastAsia="Times New Roman"/>
          <w:lang w:val="id-ID"/>
        </w:rPr>
        <w:t>.</w:t>
      </w:r>
      <w:r w:rsidR="00B75AA8" w:rsidRPr="008D3831">
        <w:rPr>
          <w:rFonts w:eastAsia="Times New Roman"/>
          <w:lang w:val="id-ID"/>
        </w:rPr>
        <w:t xml:space="preserve"> Hakim Bismar menafsirkan bahwa ‘kemaluan perempuan’ dapat disamakan dengan barang. Mengacu pada per</w:t>
      </w:r>
      <w:r w:rsidRPr="008D3831">
        <w:rPr>
          <w:rFonts w:eastAsia="Times New Roman"/>
          <w:lang w:val="id-ID"/>
        </w:rPr>
        <w:t>timbangan Hakim Bismar Siregar.</w:t>
      </w:r>
    </w:p>
    <w:p w14:paraId="4928F498" w14:textId="77777777" w:rsidR="00B75AA8" w:rsidRPr="008D3831" w:rsidRDefault="00B75AA8" w:rsidP="00D22624">
      <w:pPr>
        <w:ind w:right="27" w:firstLine="426"/>
        <w:contextualSpacing/>
        <w:jc w:val="both"/>
        <w:rPr>
          <w:rFonts w:eastAsia="Times New Roman"/>
          <w:lang w:val="id-ID"/>
        </w:rPr>
      </w:pPr>
      <w:r w:rsidRPr="008D3831">
        <w:rPr>
          <w:rFonts w:eastAsia="Times New Roman"/>
          <w:lang w:val="id-ID"/>
        </w:rPr>
        <w:t xml:space="preserve">Ahli hukum Pompe yang ikut dalam golongan yang berisi para ahli hukum pidana yang menerima penerapan analogi pernah berpendapat bahwa dalam ketentuan pidana yang dirumuskan dalam </w:t>
      </w:r>
      <w:r w:rsidR="005061F6" w:rsidRPr="008D3831">
        <w:rPr>
          <w:rFonts w:eastAsia="Times New Roman"/>
          <w:lang w:val="id-ID"/>
        </w:rPr>
        <w:t>Pasal</w:t>
      </w:r>
      <w:r w:rsidRPr="008D3831">
        <w:rPr>
          <w:rFonts w:eastAsia="Times New Roman"/>
          <w:lang w:val="id-ID"/>
        </w:rPr>
        <w:t xml:space="preserve"> 1 ayat (1) KUHP itu juga terdapat sebuah asas yang melarang dipergunakannya metode penafsir</w:t>
      </w:r>
      <w:r w:rsidR="005A136C" w:rsidRPr="008D3831">
        <w:rPr>
          <w:rFonts w:eastAsia="Times New Roman"/>
          <w:lang w:val="id-ID"/>
        </w:rPr>
        <w:t>an undang-undang secara analogi</w:t>
      </w:r>
      <w:r w:rsidRPr="008D3831">
        <w:rPr>
          <w:rFonts w:eastAsia="Times New Roman"/>
          <w:lang w:val="id-ID"/>
        </w:rPr>
        <w:t xml:space="preserve"> dalam hukum pidana. Akan tetapi dalam cetakan kelima bukunya, Pompe mengubah pendapatnya dengan alasan setelah dipertimbangkan lebih lanjut, Pompe merasa argumen-argumen yang pernah dikemukakan mengandung kelemahan</w:t>
      </w:r>
      <w:r w:rsidR="000A2D89" w:rsidRPr="008D3831">
        <w:rPr>
          <w:rFonts w:eastAsia="Times New Roman"/>
          <w:lang w:val="id-ID"/>
        </w:rPr>
        <w:t xml:space="preserve"> </w:t>
      </w:r>
      <w:r w:rsidR="000A2D89" w:rsidRPr="008D3831">
        <w:rPr>
          <w:rFonts w:eastAsia="Times New Roman"/>
          <w:lang w:val="id-ID"/>
        </w:rPr>
        <w:fldChar w:fldCharType="begin" w:fldLock="1"/>
      </w:r>
      <w:r w:rsidR="000A2D89" w:rsidRPr="008D3831">
        <w:rPr>
          <w:rFonts w:eastAsia="Times New Roman"/>
          <w:lang w:val="id-ID"/>
        </w:rPr>
        <w:instrText>ADDIN CSL_CITATION {"citationItems":[{"id":"ITEM-1","itemData":{"URL":"https://vivajusticia.law.ugm.ac.id/2018/11/29/pemikiran-pompe-mengenai-analogi-dalam-hukum-pidana/","author":[{"dropping-particle":"","family":"Nugroho","given":"Timothy","non-dropping-particle":"","parse-names":false,"suffix":""}],"container-title":"vivajusticia.net","id":"ITEM-1","issued":{"date-parts":[["2018"]]},"title":"Pemikiran Pompe Mengenai Analogi Dalam Hukum Pidana","type":"webpage"},"uris":["http://www.mendeley.com/documents/?uuid=ed63aa6a-b4ea-48d9-95ab-5143f711fa94"]}],"mendeley":{"formattedCitation":"(Nugroho 2018)","plainTextFormattedCitation":"(Nugroho 2018)","previouslyFormattedCitation":"(Nugroho 2018)"},"properties":{"noteIndex":0},"schema":"https://github.com/citation-style-language/schema/raw/master/csl-citation.json"}</w:instrText>
      </w:r>
      <w:r w:rsidR="000A2D89" w:rsidRPr="008D3831">
        <w:rPr>
          <w:rFonts w:eastAsia="Times New Roman"/>
          <w:lang w:val="id-ID"/>
        </w:rPr>
        <w:fldChar w:fldCharType="separate"/>
      </w:r>
      <w:r w:rsidR="000A2D89" w:rsidRPr="008D3831">
        <w:rPr>
          <w:rFonts w:eastAsia="Times New Roman"/>
          <w:noProof/>
          <w:lang w:val="id-ID"/>
        </w:rPr>
        <w:t>(Nugroho 2018)</w:t>
      </w:r>
      <w:r w:rsidR="000A2D89" w:rsidRPr="008D3831">
        <w:rPr>
          <w:rFonts w:eastAsia="Times New Roman"/>
          <w:lang w:val="id-ID"/>
        </w:rPr>
        <w:fldChar w:fldCharType="end"/>
      </w:r>
      <w:r w:rsidRPr="008D3831">
        <w:rPr>
          <w:rFonts w:eastAsia="Times New Roman"/>
          <w:lang w:val="id-ID"/>
        </w:rPr>
        <w:t xml:space="preserve">. </w:t>
      </w:r>
    </w:p>
    <w:p w14:paraId="433C3566" w14:textId="77777777"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 xml:space="preserve">Alasan Pompe untuk menerima penggunaan analogi dalam hukum pidana disebabkan sejarah </w:t>
      </w:r>
      <w:r w:rsidR="005061F6" w:rsidRPr="008D3831">
        <w:rPr>
          <w:rFonts w:eastAsia="Times New Roman"/>
          <w:lang w:val="id-ID"/>
        </w:rPr>
        <w:t>Pasal</w:t>
      </w:r>
      <w:r w:rsidRPr="008D3831">
        <w:rPr>
          <w:rFonts w:eastAsia="Times New Roman"/>
          <w:lang w:val="id-ID"/>
        </w:rPr>
        <w:t xml:space="preserve"> 1 ayat 1 KUHP yang pada hakekatnya menyatakan bahwa dapat dipidananya suatu perbuatan sepenuhnya diserahkan kepada hakim. Pompe berpendapat bahwa untuk memberlakukan undang-undang pidana sebenarnya hakim mempunyai suatu kebebasan yang besar, karena pada akhirnya hakimlah yang harus menilai apakah suatu perkataan atau kalimat yang terdapat di dalam undang-undang itu sudah jelas atau belum. Apabila hakim berpendapat bahwa suatu perkataan atau kalimat dalam undang-undang tidak jelas, maka ia mempunyai suatu kebebasan untuk berusaha mengetahui arti yang sebenarnya dari perkataan atau kalimat tersebut, baik sesuai dengan maksud pembentuk undang-undang maupun sesuai dengan maksud undang-undang itu sendiri. Pendapat Pompe ini senada dengan pendapat Sudikno Mertokusumo dan A. Pitlo yang menyatakan oleh karena undang-undangnya tidak lengkap atau tidak </w:t>
      </w:r>
      <w:r w:rsidRPr="008D3831">
        <w:rPr>
          <w:rFonts w:eastAsia="Times New Roman"/>
          <w:lang w:val="id-ID"/>
        </w:rPr>
        <w:lastRenderedPageBreak/>
        <w:t>jelas, maka hakim harus mencari hukumnya, harus menemukan hukumnya</w:t>
      </w:r>
      <w:r w:rsidR="000A2D89" w:rsidRPr="008D3831">
        <w:rPr>
          <w:rFonts w:eastAsia="Times New Roman"/>
          <w:lang w:val="id-ID"/>
        </w:rPr>
        <w:t xml:space="preserve"> </w:t>
      </w:r>
      <w:r w:rsidR="000A2D89" w:rsidRPr="008D3831">
        <w:rPr>
          <w:rFonts w:eastAsia="Times New Roman"/>
          <w:lang w:val="id-ID"/>
        </w:rPr>
        <w:fldChar w:fldCharType="begin" w:fldLock="1"/>
      </w:r>
      <w:r w:rsidR="000A2D89" w:rsidRPr="008D3831">
        <w:rPr>
          <w:rFonts w:eastAsia="Times New Roman"/>
          <w:lang w:val="id-ID"/>
        </w:rPr>
        <w:instrText>ADDIN CSL_CITATION {"citationItems":[{"id":"ITEM-1","itemData":{"URL":"https://vivajusticia.law.ugm.ac.id/2018/11/29/pemikiran-pompe-mengenai-analogi-dalam-hukum-pidana/","author":[{"dropping-particle":"","family":"Nugroho","given":"Timothy","non-dropping-particle":"","parse-names":false,"suffix":""}],"container-title":"vivajusticia.net","id":"ITEM-1","issued":{"date-parts":[["2018"]]},"title":"Pemikiran Pompe Mengenai Analogi Dalam Hukum Pidana","type":"webpage"},"uris":["http://www.mendeley.com/documents/?uuid=ed63aa6a-b4ea-48d9-95ab-5143f711fa94"]}],"mendeley":{"formattedCitation":"(Nugroho 2018)","plainTextFormattedCitation":"(Nugroho 2018)","previouslyFormattedCitation":"(Nugroho 2018)"},"properties":{"noteIndex":0},"schema":"https://github.com/citation-style-language/schema/raw/master/csl-citation.json"}</w:instrText>
      </w:r>
      <w:r w:rsidR="000A2D89" w:rsidRPr="008D3831">
        <w:rPr>
          <w:rFonts w:eastAsia="Times New Roman"/>
          <w:lang w:val="id-ID"/>
        </w:rPr>
        <w:fldChar w:fldCharType="separate"/>
      </w:r>
      <w:r w:rsidR="000A2D89" w:rsidRPr="008D3831">
        <w:rPr>
          <w:rFonts w:eastAsia="Times New Roman"/>
          <w:noProof/>
          <w:lang w:val="id-ID"/>
        </w:rPr>
        <w:t>(Nugroho 2018)</w:t>
      </w:r>
      <w:r w:rsidR="000A2D89" w:rsidRPr="008D3831">
        <w:rPr>
          <w:rFonts w:eastAsia="Times New Roman"/>
          <w:lang w:val="id-ID"/>
        </w:rPr>
        <w:fldChar w:fldCharType="end"/>
      </w:r>
      <w:r w:rsidRPr="008D3831">
        <w:rPr>
          <w:rFonts w:eastAsia="Times New Roman"/>
          <w:lang w:val="id-ID"/>
        </w:rPr>
        <w:t xml:space="preserve">. </w:t>
      </w:r>
    </w:p>
    <w:p w14:paraId="77D95D26" w14:textId="77777777" w:rsidR="00B75AA8" w:rsidRPr="008D3831" w:rsidRDefault="00B75AA8" w:rsidP="00D22624">
      <w:pPr>
        <w:ind w:right="27" w:firstLine="426"/>
        <w:contextualSpacing/>
        <w:jc w:val="both"/>
        <w:rPr>
          <w:rFonts w:eastAsia="Times New Roman"/>
          <w:lang w:val="id-ID"/>
        </w:rPr>
      </w:pPr>
      <w:r w:rsidRPr="008D3831">
        <w:rPr>
          <w:rFonts w:eastAsia="Times New Roman"/>
          <w:lang w:val="id-ID"/>
        </w:rPr>
        <w:t xml:space="preserve">Menyangkut tentang </w:t>
      </w:r>
      <w:r w:rsidRPr="008D3831">
        <w:rPr>
          <w:rFonts w:eastAsia="Times New Roman"/>
          <w:i/>
          <w:lang w:val="id-ID"/>
        </w:rPr>
        <w:t xml:space="preserve">strafbaarheid </w:t>
      </w:r>
      <w:r w:rsidRPr="008D3831">
        <w:rPr>
          <w:rFonts w:eastAsia="Times New Roman"/>
          <w:lang w:val="id-ID"/>
        </w:rPr>
        <w:t>suatu delik yaitu penentuan dapat atau tidaknya suatu perbuatan seseorang diancam pidana, Pompe hanya setuju penggunaan analogi yang terbatas, yaitu dalam keadaan: Pertama, pembuat undang-undang lupa merumuskan perbuatan pidana. Kedua, pembuat undang-undang tidak dapat memikirkan hal demikian karena hal tersebut adalah hal yang baru</w:t>
      </w:r>
      <w:r w:rsidR="000A2D89" w:rsidRPr="008D3831">
        <w:rPr>
          <w:rFonts w:eastAsia="Times New Roman"/>
          <w:lang w:val="id-ID"/>
        </w:rPr>
        <w:fldChar w:fldCharType="begin" w:fldLock="1"/>
      </w:r>
      <w:r w:rsidR="000A2D89" w:rsidRPr="008D3831">
        <w:rPr>
          <w:rFonts w:eastAsia="Times New Roman"/>
          <w:lang w:val="id-ID"/>
        </w:rPr>
        <w:instrText>ADDIN CSL_CITATION {"citationItems":[{"id":"ITEM-1","itemData":{"URL":"https://vivajusticia.law.ugm.ac.id/2018/11/29/pemikiran-pompe-mengenai-analogi-dalam-hukum-pidana/","author":[{"dropping-particle":"","family":"Nugroho","given":"Timothy","non-dropping-particle":"","parse-names":false,"suffix":""}],"container-title":"vivajusticia.net","id":"ITEM-1","issued":{"date-parts":[["2018"]]},"title":"Pemikiran Pompe Mengenai Analogi Dalam Hukum Pidana","type":"webpage"},"uris":["http://www.mendeley.com/documents/?uuid=ed63aa6a-b4ea-48d9-95ab-5143f711fa94"]}],"mendeley":{"formattedCitation":"(Nugroho 2018)","plainTextFormattedCitation":"(Nugroho 2018)","previouslyFormattedCitation":"(Nugroho 2018)"},"properties":{"noteIndex":0},"schema":"https://github.com/citation-style-language/schema/raw/master/csl-citation.json"}</w:instrText>
      </w:r>
      <w:r w:rsidR="000A2D89" w:rsidRPr="008D3831">
        <w:rPr>
          <w:rFonts w:eastAsia="Times New Roman"/>
          <w:lang w:val="id-ID"/>
        </w:rPr>
        <w:fldChar w:fldCharType="separate"/>
      </w:r>
      <w:r w:rsidR="000A2D89" w:rsidRPr="008D3831">
        <w:rPr>
          <w:rFonts w:eastAsia="Times New Roman"/>
          <w:noProof/>
          <w:lang w:val="id-ID"/>
        </w:rPr>
        <w:t>(Nugroho 2018)</w:t>
      </w:r>
      <w:r w:rsidR="000A2D89" w:rsidRPr="008D3831">
        <w:rPr>
          <w:rFonts w:eastAsia="Times New Roman"/>
          <w:lang w:val="id-ID"/>
        </w:rPr>
        <w:fldChar w:fldCharType="end"/>
      </w:r>
      <w:r w:rsidRPr="008D3831">
        <w:rPr>
          <w:rFonts w:eastAsia="Times New Roman"/>
          <w:lang w:val="id-ID"/>
        </w:rPr>
        <w:t xml:space="preserve">. </w:t>
      </w:r>
    </w:p>
    <w:p w14:paraId="68D76580" w14:textId="77777777" w:rsidR="00B75AA8" w:rsidRPr="008D3831" w:rsidRDefault="00B75AA8" w:rsidP="0048135E">
      <w:pPr>
        <w:spacing w:line="276" w:lineRule="auto"/>
        <w:ind w:right="27" w:firstLine="426"/>
        <w:contextualSpacing/>
        <w:jc w:val="both"/>
        <w:rPr>
          <w:rFonts w:eastAsia="Times New Roman"/>
          <w:lang w:val="id-ID"/>
        </w:rPr>
      </w:pPr>
      <w:r w:rsidRPr="008D3831">
        <w:rPr>
          <w:rFonts w:eastAsia="Times New Roman"/>
          <w:lang w:val="id-ID"/>
        </w:rPr>
        <w:t xml:space="preserve">Terlepas dari boleh-tidaknya analogi dalam hukum pidana, dalam perkembangannya sulit dinafikan Hoge Raad dan Mahkamah Agung RI tidak menggunakan analogi. Contoh konkrit </w:t>
      </w:r>
      <w:r w:rsidRPr="008D3831">
        <w:rPr>
          <w:rFonts w:eastAsia="Times New Roman"/>
          <w:i/>
          <w:lang w:val="id-ID"/>
        </w:rPr>
        <w:t>arrest Hoge Raad</w:t>
      </w:r>
      <w:r w:rsidRPr="008D3831">
        <w:rPr>
          <w:rFonts w:eastAsia="Times New Roman"/>
          <w:lang w:val="id-ID"/>
        </w:rPr>
        <w:t xml:space="preserve"> yang dapat dikatakan menggunakan analogi yaitu </w:t>
      </w:r>
      <w:r w:rsidRPr="008D3831">
        <w:rPr>
          <w:rFonts w:eastAsia="Times New Roman"/>
          <w:i/>
          <w:lang w:val="id-ID"/>
        </w:rPr>
        <w:t>Arrest Hoge Raad</w:t>
      </w:r>
      <w:r w:rsidRPr="008D3831">
        <w:rPr>
          <w:rFonts w:eastAsia="Times New Roman"/>
          <w:lang w:val="id-ID"/>
        </w:rPr>
        <w:t xml:space="preserve"> tanggal 23 Mei 1921 mengenai kasus pencurian listrik yang pada saat itu </w:t>
      </w:r>
      <w:r w:rsidRPr="008D3831">
        <w:rPr>
          <w:rFonts w:eastAsia="Times New Roman"/>
          <w:i/>
          <w:lang w:val="id-ID"/>
        </w:rPr>
        <w:t>Hoge Raad</w:t>
      </w:r>
      <w:r w:rsidRPr="008D3831">
        <w:rPr>
          <w:rFonts w:eastAsia="Times New Roman"/>
          <w:lang w:val="id-ID"/>
        </w:rPr>
        <w:t xml:space="preserve"> memperluas arti barang sehingga meliputi benda yang tidak berwujud sehingga listrik termasuk kedalamnya. Selain itu </w:t>
      </w:r>
      <w:r w:rsidRPr="008D3831">
        <w:rPr>
          <w:rFonts w:eastAsia="Times New Roman"/>
          <w:i/>
          <w:lang w:val="id-ID"/>
        </w:rPr>
        <w:t>Hoge Raad</w:t>
      </w:r>
      <w:r w:rsidRPr="008D3831">
        <w:rPr>
          <w:rFonts w:eastAsia="Times New Roman"/>
          <w:lang w:val="id-ID"/>
        </w:rPr>
        <w:t xml:space="preserve"> juga mempersamakan antara perbuatan menyalakan saklar (</w:t>
      </w:r>
      <w:r w:rsidRPr="008D3831">
        <w:rPr>
          <w:rFonts w:eastAsia="Times New Roman"/>
          <w:i/>
          <w:lang w:val="id-ID"/>
        </w:rPr>
        <w:t>inschakelen</w:t>
      </w:r>
      <w:r w:rsidRPr="008D3831">
        <w:rPr>
          <w:rFonts w:eastAsia="Times New Roman"/>
          <w:lang w:val="id-ID"/>
        </w:rPr>
        <w:t>) dengan mengambil (</w:t>
      </w:r>
      <w:r w:rsidRPr="008D3831">
        <w:rPr>
          <w:rFonts w:eastAsia="Times New Roman"/>
          <w:i/>
          <w:lang w:val="id-ID"/>
        </w:rPr>
        <w:t>wegneemt</w:t>
      </w:r>
      <w:r w:rsidRPr="008D3831">
        <w:rPr>
          <w:rFonts w:eastAsia="Times New Roman"/>
          <w:lang w:val="id-ID"/>
        </w:rPr>
        <w:t xml:space="preserve">) dalam </w:t>
      </w:r>
      <w:r w:rsidR="005061F6" w:rsidRPr="008D3831">
        <w:rPr>
          <w:rFonts w:eastAsia="Times New Roman"/>
          <w:lang w:val="id-ID"/>
        </w:rPr>
        <w:t>Pasal</w:t>
      </w:r>
      <w:r w:rsidRPr="008D3831">
        <w:rPr>
          <w:rFonts w:eastAsia="Times New Roman"/>
          <w:lang w:val="id-ID"/>
        </w:rPr>
        <w:t xml:space="preserve"> 310 KUHP Belanda.</w:t>
      </w:r>
    </w:p>
    <w:p w14:paraId="2A5DD284" w14:textId="77777777" w:rsidR="005761E2" w:rsidRPr="008D3831" w:rsidRDefault="005761E2" w:rsidP="0048135E">
      <w:pPr>
        <w:spacing w:line="276" w:lineRule="auto"/>
        <w:ind w:right="27" w:firstLine="426"/>
        <w:contextualSpacing/>
        <w:jc w:val="both"/>
        <w:rPr>
          <w:rFonts w:eastAsia="Times New Roman"/>
          <w:lang w:val="id-ID"/>
        </w:rPr>
      </w:pPr>
      <w:r w:rsidRPr="008D3831">
        <w:rPr>
          <w:rFonts w:eastAsia="Times New Roman"/>
          <w:lang w:val="id-ID"/>
        </w:rPr>
        <w:t xml:space="preserve">Apabila berpegang pada pendapat Pompe dan ahli hukum lainnya yang memperbolehkan analogi terbatas, maka perbuatan bujuk rayu dapat di analogikan dengan penipuan. Tindak pidana penipuan diatur pada </w:t>
      </w:r>
      <w:r w:rsidR="005061F6" w:rsidRPr="008D3831">
        <w:rPr>
          <w:rFonts w:eastAsia="Times New Roman"/>
          <w:lang w:val="id-ID"/>
        </w:rPr>
        <w:t>Pasal</w:t>
      </w:r>
      <w:r w:rsidRPr="008D3831">
        <w:rPr>
          <w:rFonts w:eastAsia="Times New Roman"/>
          <w:lang w:val="id-ID"/>
        </w:rPr>
        <w:t xml:space="preserve"> 378 KUHP, yang berbunyi:</w:t>
      </w:r>
    </w:p>
    <w:p w14:paraId="6C61E4D2" w14:textId="77777777" w:rsidR="005761E2" w:rsidRPr="008D3831" w:rsidRDefault="005761E2" w:rsidP="0048135E">
      <w:pPr>
        <w:spacing w:line="276" w:lineRule="auto"/>
        <w:ind w:right="27" w:firstLine="426"/>
        <w:contextualSpacing/>
        <w:jc w:val="both"/>
        <w:rPr>
          <w:rFonts w:eastAsia="Times New Roman"/>
          <w:lang w:val="id-ID"/>
        </w:rPr>
      </w:pPr>
      <w:r w:rsidRPr="008D3831">
        <w:rPr>
          <w:rFonts w:eastAsia="Times New Roman"/>
          <w:lang w:val="id-ID"/>
        </w:rPr>
        <w:t xml:space="preserve">“Barang siapa dengan maksud untuk menguntungkan diri sendiri atau orang lain secara melawan hukum, dengan memakai nama palsu atau martabat palsu, dengan tipu muslihat, ataupun rangkaian kebohongan, menggerakkan orang lain untuk menyerahkan barang sesuatu kepadanya, atau supaya memberi hutang rnaupun menghapuskan piutang diancam karena penipuan dengan pidana penjara paling lama empat tahun.” </w:t>
      </w:r>
    </w:p>
    <w:p w14:paraId="02944873" w14:textId="77777777" w:rsidR="005761E2" w:rsidRPr="008D3831" w:rsidRDefault="005761E2" w:rsidP="0048135E">
      <w:pPr>
        <w:spacing w:line="276" w:lineRule="auto"/>
        <w:ind w:right="27" w:firstLine="426"/>
        <w:contextualSpacing/>
        <w:jc w:val="both"/>
        <w:rPr>
          <w:rFonts w:eastAsia="Times New Roman"/>
          <w:lang w:val="id-ID"/>
        </w:rPr>
      </w:pPr>
      <w:r w:rsidRPr="008D3831">
        <w:rPr>
          <w:rFonts w:eastAsia="Times New Roman"/>
          <w:lang w:val="id-ID"/>
        </w:rPr>
        <w:t>Menurut R. Soesilo dalam Kitab Und</w:t>
      </w:r>
      <w:r w:rsidR="007A3F97" w:rsidRPr="008D3831">
        <w:rPr>
          <w:rFonts w:eastAsia="Times New Roman"/>
          <w:lang w:val="id-ID"/>
        </w:rPr>
        <w:t>ang-Undang Hukum Pidana (KUHP) serta k</w:t>
      </w:r>
      <w:r w:rsidRPr="008D3831">
        <w:rPr>
          <w:rFonts w:eastAsia="Times New Roman"/>
          <w:lang w:val="id-ID"/>
        </w:rPr>
        <w:t xml:space="preserve">omentar-komentarnya Lengkap </w:t>
      </w:r>
      <w:r w:rsidR="007A3F97" w:rsidRPr="008D3831">
        <w:rPr>
          <w:rFonts w:eastAsia="Times New Roman"/>
          <w:lang w:val="id-ID"/>
        </w:rPr>
        <w:t>p</w:t>
      </w:r>
      <w:r w:rsidR="005061F6" w:rsidRPr="008D3831">
        <w:rPr>
          <w:rFonts w:eastAsia="Times New Roman"/>
          <w:lang w:val="id-ID"/>
        </w:rPr>
        <w:t>asal</w:t>
      </w:r>
      <w:r w:rsidRPr="008D3831">
        <w:rPr>
          <w:rFonts w:eastAsia="Times New Roman"/>
          <w:lang w:val="id-ID"/>
        </w:rPr>
        <w:t xml:space="preserve"> demi </w:t>
      </w:r>
      <w:r w:rsidR="007A3F97" w:rsidRPr="008D3831">
        <w:rPr>
          <w:rFonts w:eastAsia="Times New Roman"/>
          <w:lang w:val="id-ID"/>
        </w:rPr>
        <w:t>p</w:t>
      </w:r>
      <w:r w:rsidR="005061F6" w:rsidRPr="008D3831">
        <w:rPr>
          <w:rFonts w:eastAsia="Times New Roman"/>
          <w:lang w:val="id-ID"/>
        </w:rPr>
        <w:t>asal</w:t>
      </w:r>
      <w:r w:rsidRPr="008D3831">
        <w:rPr>
          <w:rFonts w:eastAsia="Times New Roman"/>
          <w:lang w:val="id-ID"/>
        </w:rPr>
        <w:t>, unsur penipuan itu ada tiga, yaitu:</w:t>
      </w:r>
    </w:p>
    <w:p w14:paraId="0DAC1682" w14:textId="0634DB28" w:rsidR="005761E2" w:rsidRPr="008D3831" w:rsidRDefault="005761E2" w:rsidP="0048135E">
      <w:pPr>
        <w:spacing w:line="276" w:lineRule="auto"/>
        <w:ind w:right="27" w:firstLine="426"/>
        <w:contextualSpacing/>
        <w:jc w:val="both"/>
        <w:rPr>
          <w:rFonts w:eastAsia="Times New Roman"/>
          <w:lang w:val="id-ID"/>
        </w:rPr>
      </w:pPr>
      <w:r w:rsidRPr="008D3831">
        <w:rPr>
          <w:rFonts w:eastAsia="Times New Roman"/>
          <w:lang w:val="id-ID"/>
        </w:rPr>
        <w:t>Satu, Membujuk orang supaya memberikan barang, membuat utang, atau menghapuskan piutang; dua, Maksud pembujukan itu adalah hendak menguntungkan diri sendiri atau orang lain dengan maksud melawan hak;, tiga, Membujuknya itu dengan memakai nama palsu atau keadaan palsu, akal cerdik (tipu muslihat), atau karangan perkataan bohong</w:t>
      </w:r>
      <w:r w:rsidRPr="008D3831">
        <w:rPr>
          <w:rFonts w:eastAsia="Times New Roman"/>
          <w:lang w:val="id-ID"/>
        </w:rPr>
        <w:fldChar w:fldCharType="begin" w:fldLock="1"/>
      </w:r>
      <w:r w:rsidR="00D22624" w:rsidRPr="008D3831">
        <w:rPr>
          <w:rFonts w:eastAsia="Times New Roman"/>
          <w:lang w:val="id-ID"/>
        </w:rPr>
        <w:instrText>ADDIN CSL_CITATION {"citationItems":[{"id":"ITEM-1","itemData":{"author":[{"dropping-particle":"","family":"Soesilo","given":"R","non-dropping-particle":"","parse-names":false,"suffix":""}],"id":"ITEM-1","issued":{"date-parts":[["1988"]]},"publisher":"Politeia","publisher-place":"Bogor","title":"Kitab Undang-Undang Hukum Pidana (KUHP) Serta Komentar-Komentarnya Lengkap Pasal Demi Pasal","type":"book"},"uris":["http://www.mendeley.com/documents/?uuid=4fe1ff7c-0926-4e24-83a7-1206f948370a"]}],"mendeley":{"formattedCitation":"(Soesilo 1988)","plainTextFormattedCitation":"(Soesilo 1988)","previouslyFormattedCitation":"(Soesilo 1988:261)"},"properties":{"noteIndex":0},"schema":"https://github.com/citation-style-language/schema/raw/master/csl-citation.json"}</w:instrText>
      </w:r>
      <w:r w:rsidRPr="008D3831">
        <w:rPr>
          <w:rFonts w:eastAsia="Times New Roman"/>
          <w:lang w:val="id-ID"/>
        </w:rPr>
        <w:fldChar w:fldCharType="separate"/>
      </w:r>
      <w:r w:rsidR="00D22624" w:rsidRPr="008D3831">
        <w:rPr>
          <w:rFonts w:eastAsia="Times New Roman"/>
          <w:noProof/>
          <w:lang w:val="id-ID"/>
        </w:rPr>
        <w:t>(Soesilo 1988)</w:t>
      </w:r>
      <w:r w:rsidRPr="008D3831">
        <w:rPr>
          <w:rFonts w:eastAsia="Times New Roman"/>
          <w:lang w:val="id-ID"/>
        </w:rPr>
        <w:fldChar w:fldCharType="end"/>
      </w:r>
      <w:r w:rsidRPr="008D3831">
        <w:rPr>
          <w:rFonts w:eastAsia="Times New Roman"/>
          <w:lang w:val="id-ID"/>
        </w:rPr>
        <w:t xml:space="preserve">. </w:t>
      </w:r>
    </w:p>
    <w:p w14:paraId="1DE82B95" w14:textId="77777777" w:rsidR="005761E2" w:rsidRPr="008D3831" w:rsidRDefault="005761E2" w:rsidP="0048135E">
      <w:pPr>
        <w:spacing w:line="276" w:lineRule="auto"/>
        <w:ind w:right="27" w:firstLine="426"/>
        <w:contextualSpacing/>
        <w:jc w:val="both"/>
        <w:rPr>
          <w:rFonts w:eastAsia="Times New Roman"/>
          <w:lang w:val="id-ID"/>
        </w:rPr>
      </w:pPr>
      <w:r w:rsidRPr="008D3831">
        <w:rPr>
          <w:rFonts w:eastAsia="Times New Roman"/>
          <w:lang w:val="id-ID"/>
        </w:rPr>
        <w:t xml:space="preserve">Dalam Putusan Pengadilan Tinggi Bengkulu Nomor 12/PID/2015/PT.BGL perbuatan bujuk rayu terdakwa kepada korban menghasilkan sebuah kesepatan antara terdakwa dengan saksi korban, yakni pelaku tidak boleh meninggalkan saksi korban setelah saksi korban bersetubuh dengan terdakwa. Sehingga apabila terdakwa ingkar janji maka perbuatan terdakwa lebih tepat </w:t>
      </w:r>
      <w:r w:rsidRPr="008D3831">
        <w:rPr>
          <w:rFonts w:eastAsia="Times New Roman"/>
          <w:lang w:val="id-ID"/>
        </w:rPr>
        <w:lastRenderedPageBreak/>
        <w:t xml:space="preserve">dianggap sebagai tindak pidana penipuan. Apabila merujuk pada pendapat hakim bismar sebelumnya, maka terdakwa yang telah bersetubuh dengan saksi korban dapat dianggap telah menerima keuntungan. Hal ini dikarenakan terdakwa telah menerima jasa (persetubuhan) dari saksi korban. </w:t>
      </w:r>
    </w:p>
    <w:p w14:paraId="5677A93C" w14:textId="1C68F122" w:rsidR="005761E2" w:rsidRPr="008D3831" w:rsidRDefault="005761E2" w:rsidP="00D22624">
      <w:pPr>
        <w:spacing w:line="276" w:lineRule="auto"/>
        <w:ind w:right="27" w:firstLine="426"/>
        <w:contextualSpacing/>
        <w:jc w:val="both"/>
        <w:rPr>
          <w:rFonts w:eastAsia="Times New Roman"/>
        </w:rPr>
      </w:pPr>
      <w:r w:rsidRPr="008D3831">
        <w:rPr>
          <w:rFonts w:eastAsia="Times New Roman"/>
          <w:lang w:val="id-ID"/>
        </w:rPr>
        <w:t xml:space="preserve">Perbuatan terdakwa tersebut sudah memenuhi unsur-unsur dalam </w:t>
      </w:r>
      <w:r w:rsidR="005061F6" w:rsidRPr="008D3831">
        <w:rPr>
          <w:rFonts w:eastAsia="Times New Roman"/>
          <w:lang w:val="id-ID"/>
        </w:rPr>
        <w:t>Pasal</w:t>
      </w:r>
      <w:r w:rsidRPr="008D3831">
        <w:rPr>
          <w:rFonts w:eastAsia="Times New Roman"/>
          <w:lang w:val="id-ID"/>
        </w:rPr>
        <w:t xml:space="preserve"> 378 KUHP, yakni</w:t>
      </w:r>
      <w:r w:rsidR="00D22624" w:rsidRPr="008D3831">
        <w:rPr>
          <w:rFonts w:eastAsia="Times New Roman"/>
        </w:rPr>
        <w:t xml:space="preserve">: </w:t>
      </w:r>
      <w:r w:rsidRPr="008D3831">
        <w:rPr>
          <w:rFonts w:eastAsia="Times New Roman"/>
          <w:lang w:val="id-ID"/>
        </w:rPr>
        <w:t>Terdakwa membujuk saksi korban agar memberikan suatu jasa (bersetubuh dengan terdakwa)</w:t>
      </w:r>
      <w:r w:rsidR="007A3F97" w:rsidRPr="008D3831">
        <w:rPr>
          <w:rFonts w:eastAsia="Times New Roman"/>
          <w:lang w:val="id-ID"/>
        </w:rPr>
        <w:t>.</w:t>
      </w:r>
      <w:r w:rsidR="00D22624" w:rsidRPr="008D3831">
        <w:rPr>
          <w:rFonts w:eastAsia="Times New Roman"/>
        </w:rPr>
        <w:t xml:space="preserve"> </w:t>
      </w:r>
      <w:r w:rsidRPr="008D3831">
        <w:rPr>
          <w:rFonts w:eastAsia="Times New Roman"/>
          <w:lang w:val="id-ID"/>
        </w:rPr>
        <w:t>Maksud terdakwa membujuk korban adalah untuk menguntungkan diri terdakwa (saksi korban mau bersetubuh dengan terdakwa)</w:t>
      </w:r>
      <w:r w:rsidR="007A3F97" w:rsidRPr="008D3831">
        <w:rPr>
          <w:rFonts w:eastAsia="Times New Roman"/>
          <w:lang w:val="id-ID"/>
        </w:rPr>
        <w:t>.</w:t>
      </w:r>
      <w:r w:rsidR="00D22624" w:rsidRPr="008D3831">
        <w:rPr>
          <w:rFonts w:eastAsia="Times New Roman"/>
        </w:rPr>
        <w:t xml:space="preserve"> </w:t>
      </w:r>
      <w:r w:rsidRPr="008D3831">
        <w:rPr>
          <w:rFonts w:eastAsia="Times New Roman"/>
          <w:lang w:val="id-ID"/>
        </w:rPr>
        <w:t>Terdakwa membujuk saksi korban menggunakan tipu muslihat (bujuk rayu) yang menimbulkan sebuah kesepakatan yakni korban mau bersetubuh asal terdakwa tidak meninggalkan saksi korban setelah bersetubuh. Namun, janji terdakwa tersebut hanyalah tipu muslihat, karena setelah kejadian tersebut terdakwa meninggalkan saksi korban dan tidak menghubungi saksi korban lagi.</w:t>
      </w:r>
    </w:p>
    <w:p w14:paraId="47A44C39" w14:textId="77777777" w:rsidR="00B75AA8" w:rsidRPr="008D3831" w:rsidRDefault="00D14E27" w:rsidP="0048135E">
      <w:pPr>
        <w:spacing w:line="276" w:lineRule="auto"/>
        <w:ind w:right="27" w:firstLine="426"/>
        <w:contextualSpacing/>
        <w:jc w:val="both"/>
        <w:rPr>
          <w:rFonts w:eastAsia="Times New Roman"/>
          <w:lang w:val="id-ID"/>
        </w:rPr>
      </w:pPr>
      <w:r w:rsidRPr="008D3831">
        <w:rPr>
          <w:rFonts w:eastAsia="Times New Roman"/>
          <w:lang w:val="id-ID"/>
        </w:rPr>
        <w:t>P</w:t>
      </w:r>
      <w:r w:rsidR="005761E2" w:rsidRPr="008D3831">
        <w:rPr>
          <w:rFonts w:eastAsia="Times New Roman"/>
          <w:lang w:val="id-ID"/>
        </w:rPr>
        <w:t xml:space="preserve">erbuatan bujuk rayu yang dilakukan terdakwa dalam Putusan Pengadilan Tinggi Bengkulu Nomor 12/PID/2015/PT.BGL bukan merupakan unsur memaksa dalam KUHP karena tidak terpenuhinya unsur memaksa. Perbuatan bujuk rayu terdakwa kepada saksi korban dalam Putusan Pengadilan Tinggi Bengkulu Nomor 12/PID/2015/PT.BGL lebih tepat dianggap sebagai penipuan dan dapat dikenakan </w:t>
      </w:r>
      <w:r w:rsidR="005061F6" w:rsidRPr="008D3831">
        <w:rPr>
          <w:rFonts w:eastAsia="Times New Roman"/>
          <w:lang w:val="id-ID"/>
        </w:rPr>
        <w:t>Pasal</w:t>
      </w:r>
      <w:r w:rsidR="005761E2" w:rsidRPr="008D3831">
        <w:rPr>
          <w:rFonts w:eastAsia="Times New Roman"/>
          <w:lang w:val="id-ID"/>
        </w:rPr>
        <w:t xml:space="preserve"> 378 KUHP tentang penipuan.</w:t>
      </w:r>
    </w:p>
    <w:p w14:paraId="050CEFFE" w14:textId="77777777" w:rsidR="00AC2DBB" w:rsidRPr="008D3831" w:rsidRDefault="001F7AC1" w:rsidP="0048135E">
      <w:pPr>
        <w:spacing w:before="240" w:after="40"/>
        <w:jc w:val="both"/>
        <w:rPr>
          <w:b/>
          <w:bCs/>
          <w:lang w:val="id-ID"/>
        </w:rPr>
      </w:pPr>
      <w:r w:rsidRPr="008D3831">
        <w:rPr>
          <w:b/>
          <w:bCs/>
          <w:lang w:val="id-ID"/>
        </w:rPr>
        <w:t>PENUTUP</w:t>
      </w:r>
    </w:p>
    <w:p w14:paraId="5C5F891C" w14:textId="77777777" w:rsidR="00AC2DBB" w:rsidRPr="008D3831" w:rsidRDefault="0048135E" w:rsidP="0048135E">
      <w:pPr>
        <w:pStyle w:val="BodyText1"/>
        <w:spacing w:line="276" w:lineRule="auto"/>
        <w:ind w:firstLine="0"/>
        <w:rPr>
          <w:b/>
          <w:lang w:val="id-ID"/>
        </w:rPr>
      </w:pPr>
      <w:r w:rsidRPr="008D3831">
        <w:rPr>
          <w:b/>
        </w:rPr>
        <w:t>S</w:t>
      </w:r>
      <w:r w:rsidR="001F7AC1" w:rsidRPr="008D3831">
        <w:rPr>
          <w:b/>
          <w:lang w:val="id-ID"/>
        </w:rPr>
        <w:t>impulan</w:t>
      </w:r>
    </w:p>
    <w:p w14:paraId="581BECF5" w14:textId="77777777" w:rsidR="0075703E" w:rsidRPr="008D3831" w:rsidRDefault="0075703E" w:rsidP="0048135E">
      <w:pPr>
        <w:spacing w:line="276" w:lineRule="auto"/>
        <w:ind w:right="27" w:firstLine="426"/>
        <w:contextualSpacing/>
        <w:jc w:val="both"/>
        <w:rPr>
          <w:rFonts w:eastAsia="Times New Roman"/>
          <w:lang w:val="id-ID"/>
        </w:rPr>
      </w:pPr>
      <w:r w:rsidRPr="008D3831">
        <w:rPr>
          <w:rFonts w:eastAsia="Times New Roman"/>
          <w:lang w:val="id-ID"/>
        </w:rPr>
        <w:t xml:space="preserve">Istilah bujuk rayu yang terdapat dalam Undang-Undang Nomor 23 Tahun 2002 tentang Perlindungan Anak tidak dapat digunakan pada korban yang merupakan orang dewasa. Hal ini dikarenakan beberapa alasan yaitu: pertama, bertentangan dengan asas legalitas; kedua, bertentangan dengan argumentum a contrario karena pada </w:t>
      </w:r>
      <w:r w:rsidR="005061F6" w:rsidRPr="008D3831">
        <w:rPr>
          <w:rFonts w:eastAsia="Times New Roman"/>
          <w:lang w:val="id-ID"/>
        </w:rPr>
        <w:t>Pasal</w:t>
      </w:r>
      <w:r w:rsidRPr="008D3831">
        <w:rPr>
          <w:rFonts w:eastAsia="Times New Roman"/>
          <w:lang w:val="id-ID"/>
        </w:rPr>
        <w:t xml:space="preserve"> 81 Undang-Undang Nomor 23 Tahun 2002 tentang Perlindungan Anak hanya mengatur tentang tindak perkosaan terhadap anak</w:t>
      </w:r>
      <w:r w:rsidR="007A3F97" w:rsidRPr="008D3831">
        <w:rPr>
          <w:rFonts w:eastAsia="Times New Roman"/>
          <w:lang w:val="id-ID"/>
        </w:rPr>
        <w:t>. M</w:t>
      </w:r>
      <w:r w:rsidRPr="008D3831">
        <w:rPr>
          <w:rFonts w:eastAsia="Times New Roman"/>
          <w:lang w:val="id-ID"/>
        </w:rPr>
        <w:t xml:space="preserve">aka berlakulah kebalikannya yakni tidak dapat digunakan pada korban yang merupakan orang dewasa. Ketiga, penggunaan bujuk rayu dalam </w:t>
      </w:r>
      <w:r w:rsidR="005061F6" w:rsidRPr="008D3831">
        <w:rPr>
          <w:rFonts w:eastAsia="Times New Roman"/>
          <w:lang w:val="id-ID"/>
        </w:rPr>
        <w:t>Pasal</w:t>
      </w:r>
      <w:r w:rsidRPr="008D3831">
        <w:rPr>
          <w:rFonts w:eastAsia="Times New Roman"/>
          <w:lang w:val="id-ID"/>
        </w:rPr>
        <w:t xml:space="preserve"> 81 Undang-Undang Nomor 23 Tahun 2002 tentang Perlindungan Anak hanya berlaku untuk tindak pidana perkosaan terhadap anak, mengingat tujuan utama dari dibuatnya Undang-Undang Perlindungan Anak.</w:t>
      </w:r>
    </w:p>
    <w:p w14:paraId="425E6186" w14:textId="77777777" w:rsidR="00B549CB" w:rsidRPr="008D3831" w:rsidRDefault="0075703E" w:rsidP="0048135E">
      <w:pPr>
        <w:spacing w:line="276" w:lineRule="auto"/>
        <w:ind w:right="27" w:firstLine="426"/>
        <w:contextualSpacing/>
        <w:jc w:val="both"/>
        <w:rPr>
          <w:rFonts w:eastAsia="Times New Roman"/>
          <w:lang w:val="id-ID"/>
        </w:rPr>
      </w:pPr>
      <w:r w:rsidRPr="008D3831">
        <w:rPr>
          <w:rFonts w:eastAsia="Times New Roman"/>
          <w:lang w:val="id-ID"/>
        </w:rPr>
        <w:t xml:space="preserve">Makna frase “bujuk rayu” pada putusan hakim Pengadilan Tinggi Bengkulu Nomor 12/PID/2015/PT.BGL bukan merupakan unsur memaksa dalam </w:t>
      </w:r>
      <w:r w:rsidR="005061F6" w:rsidRPr="008D3831">
        <w:rPr>
          <w:rFonts w:eastAsia="Times New Roman"/>
          <w:lang w:val="id-ID"/>
        </w:rPr>
        <w:t>Pasal</w:t>
      </w:r>
      <w:r w:rsidRPr="008D3831">
        <w:rPr>
          <w:rFonts w:eastAsia="Times New Roman"/>
          <w:lang w:val="id-ID"/>
        </w:rPr>
        <w:t xml:space="preserve"> 285 KUHP. Hal ini dikarenakan Putusan Mahkamah Konstitusi Nomor 1/PUU-XI/2013 mengubah </w:t>
      </w:r>
      <w:r w:rsidRPr="008D3831">
        <w:rPr>
          <w:rFonts w:eastAsia="Times New Roman"/>
          <w:lang w:val="id-ID"/>
        </w:rPr>
        <w:lastRenderedPageBreak/>
        <w:t>definisi pemaksaan dengan menghilangkan unsur perbuatan tidak menyenangkan. Sehingga</w:t>
      </w:r>
      <w:r w:rsidR="007A3F97" w:rsidRPr="008D3831">
        <w:rPr>
          <w:rFonts w:eastAsia="Times New Roman"/>
          <w:lang w:val="id-ID"/>
        </w:rPr>
        <w:t>,</w:t>
      </w:r>
      <w:r w:rsidRPr="008D3831">
        <w:rPr>
          <w:rFonts w:eastAsia="Times New Roman"/>
          <w:lang w:val="id-ID"/>
        </w:rPr>
        <w:t xml:space="preserve"> definisi pemaksaan mengacu pada kekerasan atau ancaman kekerasan, sedangkan dalam bujuk rayu tidak terdapat unsur kekerasan atau ancaman kekerasan. Selain itu, bujuk rayu berakhir dengan kesepakatan dan kesukarelaan saksi korban yang dibujuk rayu oleh terdakwa, berbeda dengan pemaksaan yang berakhir dengan keterpaksaan saksi korban melakukan suatu perbuatan bukan karena keinginannya sendiri. Dalam hal ini, terdakwa dapat dianggap telah menerima jasa (persetubuhan) dari saksi korban setelah menggunakan bujuk rayu pada saksi korban. Oleh karena itu perbuatan terdakwa lebih tepat dianggap sebagai tindak pidana penipuan.</w:t>
      </w:r>
    </w:p>
    <w:p w14:paraId="39D02873" w14:textId="77777777" w:rsidR="0075703E" w:rsidRPr="008D3831" w:rsidRDefault="0075703E" w:rsidP="0048135E">
      <w:pPr>
        <w:spacing w:line="276" w:lineRule="auto"/>
        <w:ind w:right="27" w:firstLine="426"/>
        <w:contextualSpacing/>
        <w:jc w:val="both"/>
        <w:rPr>
          <w:rFonts w:eastAsia="Times New Roman"/>
          <w:lang w:val="id-ID"/>
        </w:rPr>
      </w:pPr>
    </w:p>
    <w:p w14:paraId="01AC844B" w14:textId="77777777" w:rsidR="00AC2DBB" w:rsidRPr="008D3831" w:rsidRDefault="001F7AC1" w:rsidP="0048135E">
      <w:pPr>
        <w:spacing w:line="276" w:lineRule="auto"/>
        <w:ind w:right="27"/>
        <w:contextualSpacing/>
        <w:jc w:val="both"/>
        <w:rPr>
          <w:rFonts w:eastAsia="Times New Roman"/>
          <w:b/>
          <w:lang w:val="id-ID"/>
        </w:rPr>
      </w:pPr>
      <w:r w:rsidRPr="008D3831">
        <w:rPr>
          <w:rFonts w:eastAsia="Times New Roman"/>
          <w:b/>
          <w:lang w:val="id-ID"/>
        </w:rPr>
        <w:t>Saran</w:t>
      </w:r>
    </w:p>
    <w:p w14:paraId="525BF3C8" w14:textId="4E14D954" w:rsidR="0075703E" w:rsidRPr="008D3831" w:rsidRDefault="0075703E" w:rsidP="0048135E">
      <w:pPr>
        <w:spacing w:line="276" w:lineRule="auto"/>
        <w:ind w:right="27" w:firstLine="426"/>
        <w:contextualSpacing/>
        <w:jc w:val="both"/>
        <w:rPr>
          <w:rFonts w:eastAsia="Times New Roman"/>
          <w:lang w:val="id-ID"/>
        </w:rPr>
      </w:pPr>
      <w:r w:rsidRPr="008D3831">
        <w:rPr>
          <w:rFonts w:eastAsia="Times New Roman"/>
          <w:lang w:val="id-ID"/>
        </w:rPr>
        <w:t xml:space="preserve">Undang-Undang Nomor 23 Tahun 2002 tentang Perlindungan Anak hanya dapat digunakan apabila terjadi tindak perkosaan terhadap anak dan tidak dapat digunakan pada korban yang merupakan orang dewasa. Oleh karena itu, </w:t>
      </w:r>
      <w:r w:rsidR="00761A9F" w:rsidRPr="008D3831">
        <w:rPr>
          <w:rFonts w:eastAsia="Times New Roman"/>
        </w:rPr>
        <w:t>Lembaga Penegak Hukum</w:t>
      </w:r>
      <w:r w:rsidR="003A6A4A" w:rsidRPr="008D3831">
        <w:rPr>
          <w:rFonts w:eastAsia="Times New Roman"/>
        </w:rPr>
        <w:t xml:space="preserve"> seyogyanya</w:t>
      </w:r>
      <w:r w:rsidRPr="008D3831">
        <w:rPr>
          <w:rFonts w:eastAsia="Times New Roman"/>
          <w:lang w:val="id-ID"/>
        </w:rPr>
        <w:t xml:space="preserve"> membuat aturan </w:t>
      </w:r>
      <w:r w:rsidR="00761A9F" w:rsidRPr="008D3831">
        <w:rPr>
          <w:rFonts w:eastAsia="Times New Roman"/>
        </w:rPr>
        <w:t>turunan</w:t>
      </w:r>
      <w:r w:rsidRPr="008D3831">
        <w:rPr>
          <w:rFonts w:eastAsia="Times New Roman"/>
          <w:lang w:val="id-ID"/>
        </w:rPr>
        <w:t xml:space="preserve"> mengenai tindak pidana perkosaan atau aturan yang memperbolehkan digunakannya </w:t>
      </w:r>
      <w:r w:rsidR="005061F6" w:rsidRPr="008D3831">
        <w:rPr>
          <w:rFonts w:eastAsia="Times New Roman"/>
          <w:lang w:val="id-ID"/>
        </w:rPr>
        <w:t>Pasal</w:t>
      </w:r>
      <w:r w:rsidRPr="008D3831">
        <w:rPr>
          <w:rFonts w:eastAsia="Times New Roman"/>
          <w:lang w:val="id-ID"/>
        </w:rPr>
        <w:t xml:space="preserve"> 81 Undang-Undang Nomor 23 Tahun 2002 tentang Perlindungan Anak kepada orang dewasa. Hal ini karena ditemukannya modus-modus baru dalam tindak pidana perkosaan seiring perkembangan zaman dan Kitab Undang-undang Hukum Pidana (KUHP) sebagaimana warisan belanda yang berlaku sejak pada 1918 dinilai tidak sesuai apabila dihadapkan pada konteks permasalahan-permasalahan sosial dewasa ini.</w:t>
      </w:r>
      <w:r w:rsidR="00D22624" w:rsidRPr="008D3831">
        <w:rPr>
          <w:rFonts w:eastAsia="Times New Roman"/>
          <w:lang w:val="id-ID"/>
        </w:rPr>
        <w:t xml:space="preserve"> Sehingga dengan adanya aturan turun</w:t>
      </w:r>
      <w:r w:rsidR="00D22624" w:rsidRPr="008D3831">
        <w:rPr>
          <w:rFonts w:eastAsia="Times New Roman"/>
        </w:rPr>
        <w:t>an</w:t>
      </w:r>
      <w:r w:rsidR="00D22624" w:rsidRPr="008D3831">
        <w:rPr>
          <w:rFonts w:eastAsia="Times New Roman"/>
          <w:lang w:val="id-ID"/>
        </w:rPr>
        <w:t xml:space="preserve"> diharapkan dapat menjadi jalan keluar</w:t>
      </w:r>
      <w:r w:rsidR="00D22624" w:rsidRPr="008D3831">
        <w:rPr>
          <w:rFonts w:eastAsia="Times New Roman"/>
        </w:rPr>
        <w:t xml:space="preserve"> sementara terhadap permasalahan bujuk rayu dalam kasus perkosaan sampai rampungnya Rancangan Kitab Undang-Undang Hukum Pidana yang baru.</w:t>
      </w:r>
      <w:r w:rsidRPr="008D3831">
        <w:rPr>
          <w:rFonts w:eastAsia="Times New Roman"/>
          <w:lang w:val="id-ID"/>
        </w:rPr>
        <w:t xml:space="preserve"> </w:t>
      </w:r>
    </w:p>
    <w:p w14:paraId="2CA424E3" w14:textId="77777777" w:rsidR="0048135E" w:rsidRPr="008D3831" w:rsidRDefault="0075703E" w:rsidP="00761A9F">
      <w:pPr>
        <w:spacing w:line="276" w:lineRule="auto"/>
        <w:ind w:right="27" w:firstLine="426"/>
        <w:contextualSpacing/>
        <w:jc w:val="both"/>
        <w:rPr>
          <w:lang w:val="id-ID"/>
        </w:rPr>
      </w:pPr>
      <w:r w:rsidRPr="008D3831">
        <w:rPr>
          <w:rFonts w:eastAsia="Times New Roman"/>
          <w:lang w:val="id-ID"/>
        </w:rPr>
        <w:t xml:space="preserve">Hakim dalam memutus suatu perkara seyogyanya berlandaskan pada hukum positif di Indonesia. Sebagaimana Indonesia mengakui adanya asas legalitas. Dalam kasus perkosaan dengan modus bujuk rayu </w:t>
      </w:r>
      <w:r w:rsidR="003A6A4A" w:rsidRPr="008D3831">
        <w:rPr>
          <w:rFonts w:eastAsia="Times New Roman"/>
          <w:lang w:val="id-ID"/>
        </w:rPr>
        <w:t>Penegak Hukum seyogyanya</w:t>
      </w:r>
      <w:r w:rsidRPr="008D3831">
        <w:rPr>
          <w:rFonts w:eastAsia="Times New Roman"/>
          <w:lang w:val="id-ID"/>
        </w:rPr>
        <w:t xml:space="preserve"> mengajukan pengujian </w:t>
      </w:r>
      <w:r w:rsidR="005061F6" w:rsidRPr="008D3831">
        <w:rPr>
          <w:rFonts w:eastAsia="Times New Roman"/>
          <w:lang w:val="id-ID"/>
        </w:rPr>
        <w:t>Pasal</w:t>
      </w:r>
      <w:r w:rsidRPr="008D3831">
        <w:rPr>
          <w:rFonts w:eastAsia="Times New Roman"/>
          <w:lang w:val="id-ID"/>
        </w:rPr>
        <w:t xml:space="preserve"> 378 KUHP kepada Mahkamah Konstitusi untuk memperluas unsur objek dalam </w:t>
      </w:r>
      <w:r w:rsidR="005061F6" w:rsidRPr="008D3831">
        <w:rPr>
          <w:rFonts w:eastAsia="Times New Roman"/>
          <w:lang w:val="id-ID"/>
        </w:rPr>
        <w:t>Pasal</w:t>
      </w:r>
      <w:r w:rsidRPr="008D3831">
        <w:rPr>
          <w:rFonts w:eastAsia="Times New Roman"/>
          <w:lang w:val="id-ID"/>
        </w:rPr>
        <w:t xml:space="preserve"> 378 KUHP tidak hanya barang dan piutang tetapi juga mencakup jasa. Hal tersebut dimaksudkan agar tercapainya keadilan bagi korban bujuk rayu, sekaligus melindungi kerhormatan</w:t>
      </w:r>
      <w:r w:rsidR="003A6A4A" w:rsidRPr="008D3831">
        <w:rPr>
          <w:rFonts w:eastAsia="Times New Roman"/>
        </w:rPr>
        <w:t xml:space="preserve"> wanita</w:t>
      </w:r>
      <w:r w:rsidRPr="008D3831">
        <w:rPr>
          <w:rFonts w:eastAsia="Times New Roman"/>
          <w:lang w:val="id-ID"/>
        </w:rPr>
        <w:t>. Karena saat ini zaman sudah lebih modern dan KUHP</w:t>
      </w:r>
      <w:r w:rsidRPr="008D3831">
        <w:rPr>
          <w:lang w:val="id-ID"/>
        </w:rPr>
        <w:t xml:space="preserve"> butuh pembaharuan. </w:t>
      </w:r>
      <w:r w:rsidR="003A6A4A" w:rsidRPr="008D3831">
        <w:rPr>
          <w:lang w:val="id-ID"/>
        </w:rPr>
        <w:t>Dalam kasus ini Hakim se</w:t>
      </w:r>
      <w:r w:rsidR="003A6A4A" w:rsidRPr="008D3831">
        <w:t>yogyanya</w:t>
      </w:r>
      <w:r w:rsidRPr="008D3831">
        <w:rPr>
          <w:lang w:val="id-ID"/>
        </w:rPr>
        <w:t xml:space="preserve"> juga mempertimbang </w:t>
      </w:r>
      <w:r w:rsidR="005061F6" w:rsidRPr="008D3831">
        <w:rPr>
          <w:lang w:val="id-ID"/>
        </w:rPr>
        <w:t>Pasal</w:t>
      </w:r>
      <w:r w:rsidRPr="008D3831">
        <w:rPr>
          <w:lang w:val="id-ID"/>
        </w:rPr>
        <w:t xml:space="preserve"> terkait penipuan serta pendapat-pendapat ahli yang berpendapat bahwa penipuan tidak hanya terhadap barang, tetapi juga jasa.</w:t>
      </w:r>
    </w:p>
    <w:p w14:paraId="3027F228" w14:textId="77777777" w:rsidR="00AC2DBB" w:rsidRPr="008D3831" w:rsidRDefault="001F7AC1" w:rsidP="0048135E">
      <w:pPr>
        <w:pStyle w:val="BodyText1"/>
        <w:spacing w:before="240" w:after="40" w:line="240" w:lineRule="auto"/>
        <w:ind w:firstLine="0"/>
        <w:rPr>
          <w:b/>
          <w:lang w:val="id-ID"/>
        </w:rPr>
      </w:pPr>
      <w:r w:rsidRPr="008D3831">
        <w:rPr>
          <w:b/>
          <w:lang w:val="id-ID"/>
        </w:rPr>
        <w:lastRenderedPageBreak/>
        <w:t>DAFTAR PUSTAKA</w:t>
      </w:r>
    </w:p>
    <w:p w14:paraId="0781AC45" w14:textId="77777777" w:rsidR="008B5873" w:rsidRPr="008D3831" w:rsidRDefault="003D0558" w:rsidP="0048135E">
      <w:pPr>
        <w:widowControl w:val="0"/>
        <w:autoSpaceDE w:val="0"/>
        <w:autoSpaceDN w:val="0"/>
        <w:adjustRightInd w:val="0"/>
        <w:spacing w:before="120" w:after="120"/>
        <w:ind w:left="482" w:hanging="482"/>
        <w:jc w:val="left"/>
        <w:rPr>
          <w:b/>
          <w:lang w:val="id-ID"/>
        </w:rPr>
      </w:pPr>
      <w:r w:rsidRPr="008D3831">
        <w:rPr>
          <w:b/>
          <w:lang w:val="id-ID"/>
        </w:rPr>
        <w:t>Buku</w:t>
      </w:r>
    </w:p>
    <w:p w14:paraId="1A57A6EA" w14:textId="2C5312D3" w:rsidR="00D22624" w:rsidRPr="008D3831" w:rsidRDefault="009A5A46" w:rsidP="00D22624">
      <w:pPr>
        <w:widowControl w:val="0"/>
        <w:autoSpaceDE w:val="0"/>
        <w:autoSpaceDN w:val="0"/>
        <w:adjustRightInd w:val="0"/>
        <w:spacing w:before="120" w:after="120"/>
        <w:ind w:left="480" w:hanging="480"/>
        <w:jc w:val="both"/>
        <w:rPr>
          <w:noProof/>
          <w:szCs w:val="24"/>
        </w:rPr>
      </w:pPr>
      <w:r w:rsidRPr="008D3831">
        <w:rPr>
          <w:b/>
          <w:lang w:val="id-ID"/>
        </w:rPr>
        <w:fldChar w:fldCharType="begin" w:fldLock="1"/>
      </w:r>
      <w:r w:rsidRPr="008D3831">
        <w:rPr>
          <w:b/>
          <w:lang w:val="id-ID"/>
        </w:rPr>
        <w:instrText xml:space="preserve">ADDIN Mendeley Bibliography CSL_BIBLIOGRAPHY </w:instrText>
      </w:r>
      <w:r w:rsidRPr="008D3831">
        <w:rPr>
          <w:b/>
          <w:lang w:val="id-ID"/>
        </w:rPr>
        <w:fldChar w:fldCharType="separate"/>
      </w:r>
      <w:r w:rsidR="00D22624" w:rsidRPr="008D3831">
        <w:rPr>
          <w:noProof/>
          <w:szCs w:val="24"/>
        </w:rPr>
        <w:t xml:space="preserve">Ali, Achmad. 2015. </w:t>
      </w:r>
      <w:r w:rsidR="00D22624" w:rsidRPr="008D3831">
        <w:rPr>
          <w:i/>
          <w:iCs/>
          <w:noProof/>
          <w:szCs w:val="24"/>
        </w:rPr>
        <w:t>Menguak Tabir Hukum</w:t>
      </w:r>
      <w:r w:rsidR="00D22624" w:rsidRPr="008D3831">
        <w:rPr>
          <w:noProof/>
          <w:szCs w:val="24"/>
        </w:rPr>
        <w:t>. Jakarta: Kencana Prenada Media Group.</w:t>
      </w:r>
    </w:p>
    <w:p w14:paraId="55A83A67" w14:textId="77777777" w:rsidR="00D22624" w:rsidRPr="008D3831" w:rsidRDefault="00D22624" w:rsidP="00D22624">
      <w:pPr>
        <w:widowControl w:val="0"/>
        <w:autoSpaceDE w:val="0"/>
        <w:autoSpaceDN w:val="0"/>
        <w:adjustRightInd w:val="0"/>
        <w:spacing w:before="120" w:after="120"/>
        <w:ind w:left="480" w:hanging="480"/>
        <w:jc w:val="both"/>
        <w:rPr>
          <w:noProof/>
          <w:szCs w:val="24"/>
        </w:rPr>
      </w:pPr>
      <w:r w:rsidRPr="008D3831">
        <w:rPr>
          <w:noProof/>
          <w:szCs w:val="24"/>
        </w:rPr>
        <w:t xml:space="preserve">Fajar, Mukti dan Yulianto Achmad. 2010. </w:t>
      </w:r>
      <w:r w:rsidRPr="008D3831">
        <w:rPr>
          <w:i/>
          <w:iCs/>
          <w:noProof/>
          <w:szCs w:val="24"/>
        </w:rPr>
        <w:t>Dualisme Penelitian Hukum Normatif dan Empiris</w:t>
      </w:r>
      <w:r w:rsidRPr="008D3831">
        <w:rPr>
          <w:noProof/>
          <w:szCs w:val="24"/>
        </w:rPr>
        <w:t>. Yogyakarta: Pustaka Pelajar.</w:t>
      </w:r>
    </w:p>
    <w:p w14:paraId="31D55650" w14:textId="77777777" w:rsidR="00D22624" w:rsidRPr="008D3831" w:rsidRDefault="00D22624" w:rsidP="00D22624">
      <w:pPr>
        <w:widowControl w:val="0"/>
        <w:autoSpaceDE w:val="0"/>
        <w:autoSpaceDN w:val="0"/>
        <w:adjustRightInd w:val="0"/>
        <w:spacing w:before="120" w:after="120"/>
        <w:ind w:left="480" w:hanging="480"/>
        <w:jc w:val="both"/>
        <w:rPr>
          <w:noProof/>
          <w:szCs w:val="24"/>
        </w:rPr>
      </w:pPr>
      <w:r w:rsidRPr="008D3831">
        <w:rPr>
          <w:noProof/>
          <w:szCs w:val="24"/>
        </w:rPr>
        <w:t xml:space="preserve">Ibrahim, Johny. 2005. </w:t>
      </w:r>
      <w:r w:rsidRPr="008D3831">
        <w:rPr>
          <w:i/>
          <w:iCs/>
          <w:noProof/>
          <w:szCs w:val="24"/>
        </w:rPr>
        <w:t>Teori &amp; Metodologi Penelitian Hukum Normatif</w:t>
      </w:r>
      <w:r w:rsidRPr="008D3831">
        <w:rPr>
          <w:noProof/>
          <w:szCs w:val="24"/>
        </w:rPr>
        <w:t>. Malang: Bayumedia Publishing.</w:t>
      </w:r>
    </w:p>
    <w:p w14:paraId="064EBB27" w14:textId="77777777" w:rsidR="00D22624" w:rsidRPr="008D3831" w:rsidRDefault="00D22624" w:rsidP="00D22624">
      <w:pPr>
        <w:widowControl w:val="0"/>
        <w:autoSpaceDE w:val="0"/>
        <w:autoSpaceDN w:val="0"/>
        <w:adjustRightInd w:val="0"/>
        <w:spacing w:before="120" w:after="120"/>
        <w:ind w:left="480" w:hanging="480"/>
        <w:jc w:val="both"/>
        <w:rPr>
          <w:noProof/>
          <w:szCs w:val="24"/>
        </w:rPr>
      </w:pPr>
      <w:r w:rsidRPr="008D3831">
        <w:rPr>
          <w:noProof/>
          <w:szCs w:val="24"/>
        </w:rPr>
        <w:t xml:space="preserve">Marlina. 2009. </w:t>
      </w:r>
      <w:r w:rsidRPr="008D3831">
        <w:rPr>
          <w:i/>
          <w:iCs/>
          <w:noProof/>
          <w:szCs w:val="24"/>
        </w:rPr>
        <w:t>Peradilan Pidana Anak di Indonesia</w:t>
      </w:r>
      <w:r w:rsidRPr="008D3831">
        <w:rPr>
          <w:noProof/>
          <w:szCs w:val="24"/>
        </w:rPr>
        <w:t>. Bandung: Refika Aditama.</w:t>
      </w:r>
    </w:p>
    <w:p w14:paraId="156E7D32" w14:textId="77777777" w:rsidR="00D22624" w:rsidRPr="008D3831" w:rsidRDefault="00D22624" w:rsidP="00D22624">
      <w:pPr>
        <w:widowControl w:val="0"/>
        <w:autoSpaceDE w:val="0"/>
        <w:autoSpaceDN w:val="0"/>
        <w:adjustRightInd w:val="0"/>
        <w:spacing w:before="120" w:after="120"/>
        <w:ind w:left="480" w:hanging="480"/>
        <w:jc w:val="both"/>
        <w:rPr>
          <w:noProof/>
          <w:szCs w:val="24"/>
        </w:rPr>
      </w:pPr>
      <w:r w:rsidRPr="008D3831">
        <w:rPr>
          <w:noProof/>
          <w:szCs w:val="24"/>
        </w:rPr>
        <w:t xml:space="preserve">Marzuki, Peter Mahmud. 2014. </w:t>
      </w:r>
      <w:r w:rsidRPr="008D3831">
        <w:rPr>
          <w:i/>
          <w:iCs/>
          <w:noProof/>
          <w:szCs w:val="24"/>
        </w:rPr>
        <w:t>Penelitian Hukum</w:t>
      </w:r>
      <w:r w:rsidRPr="008D3831">
        <w:rPr>
          <w:noProof/>
          <w:szCs w:val="24"/>
        </w:rPr>
        <w:t>. Jakarta: Kencana Prenada Media Group.</w:t>
      </w:r>
    </w:p>
    <w:p w14:paraId="4AC59937" w14:textId="77777777" w:rsidR="00D22624" w:rsidRPr="008D3831" w:rsidRDefault="00D22624" w:rsidP="00D22624">
      <w:pPr>
        <w:widowControl w:val="0"/>
        <w:autoSpaceDE w:val="0"/>
        <w:autoSpaceDN w:val="0"/>
        <w:adjustRightInd w:val="0"/>
        <w:spacing w:before="120" w:after="120"/>
        <w:ind w:left="480" w:hanging="480"/>
        <w:jc w:val="both"/>
        <w:rPr>
          <w:noProof/>
          <w:szCs w:val="24"/>
        </w:rPr>
      </w:pPr>
      <w:r w:rsidRPr="008D3831">
        <w:rPr>
          <w:noProof/>
          <w:szCs w:val="24"/>
        </w:rPr>
        <w:t xml:space="preserve">Mertokusumo, Sudikno. 2007. </w:t>
      </w:r>
      <w:r w:rsidRPr="008D3831">
        <w:rPr>
          <w:i/>
          <w:iCs/>
          <w:noProof/>
          <w:szCs w:val="24"/>
        </w:rPr>
        <w:t>Penemuan Hukum Sebuah Pengantar</w:t>
      </w:r>
      <w:r w:rsidRPr="008D3831">
        <w:rPr>
          <w:noProof/>
          <w:szCs w:val="24"/>
        </w:rPr>
        <w:t>. Yogyakarta: Liberty.</w:t>
      </w:r>
    </w:p>
    <w:p w14:paraId="1993B9B6" w14:textId="77777777" w:rsidR="00D22624" w:rsidRPr="008D3831" w:rsidRDefault="00D22624" w:rsidP="00D22624">
      <w:pPr>
        <w:widowControl w:val="0"/>
        <w:autoSpaceDE w:val="0"/>
        <w:autoSpaceDN w:val="0"/>
        <w:adjustRightInd w:val="0"/>
        <w:spacing w:before="120" w:after="120"/>
        <w:ind w:left="480" w:hanging="480"/>
        <w:jc w:val="both"/>
        <w:rPr>
          <w:noProof/>
          <w:szCs w:val="24"/>
        </w:rPr>
      </w:pPr>
      <w:r w:rsidRPr="008D3831">
        <w:rPr>
          <w:noProof/>
          <w:szCs w:val="24"/>
        </w:rPr>
        <w:t xml:space="preserve">Moeljatno. 2007. </w:t>
      </w:r>
      <w:r w:rsidRPr="008D3831">
        <w:rPr>
          <w:i/>
          <w:iCs/>
          <w:noProof/>
          <w:szCs w:val="24"/>
        </w:rPr>
        <w:t>Kitab Undang-Undang Hukum Pidana</w:t>
      </w:r>
      <w:r w:rsidRPr="008D3831">
        <w:rPr>
          <w:noProof/>
          <w:szCs w:val="24"/>
        </w:rPr>
        <w:t>. Jakarta: Bumi Aksara.</w:t>
      </w:r>
    </w:p>
    <w:p w14:paraId="6B6E1F53" w14:textId="77777777" w:rsidR="00D22624" w:rsidRPr="008D3831" w:rsidRDefault="00D22624" w:rsidP="00D22624">
      <w:pPr>
        <w:widowControl w:val="0"/>
        <w:autoSpaceDE w:val="0"/>
        <w:autoSpaceDN w:val="0"/>
        <w:adjustRightInd w:val="0"/>
        <w:spacing w:before="120" w:after="120"/>
        <w:ind w:left="480" w:hanging="480"/>
        <w:jc w:val="both"/>
        <w:rPr>
          <w:noProof/>
          <w:szCs w:val="24"/>
        </w:rPr>
      </w:pPr>
      <w:r w:rsidRPr="008D3831">
        <w:rPr>
          <w:noProof/>
          <w:szCs w:val="24"/>
        </w:rPr>
        <w:t xml:space="preserve">Soeroso, R. 2015. </w:t>
      </w:r>
      <w:r w:rsidRPr="008D3831">
        <w:rPr>
          <w:i/>
          <w:iCs/>
          <w:noProof/>
          <w:szCs w:val="24"/>
        </w:rPr>
        <w:t>Pengantar Ilmu Hukum</w:t>
      </w:r>
      <w:r w:rsidRPr="008D3831">
        <w:rPr>
          <w:noProof/>
          <w:szCs w:val="24"/>
        </w:rPr>
        <w:t>. Jakarta: Sinar Grafika.</w:t>
      </w:r>
    </w:p>
    <w:p w14:paraId="7AB4A351" w14:textId="77777777" w:rsidR="00D22624" w:rsidRPr="008D3831" w:rsidRDefault="00D22624" w:rsidP="00D22624">
      <w:pPr>
        <w:widowControl w:val="0"/>
        <w:autoSpaceDE w:val="0"/>
        <w:autoSpaceDN w:val="0"/>
        <w:adjustRightInd w:val="0"/>
        <w:spacing w:before="120" w:after="120"/>
        <w:ind w:left="480" w:hanging="480"/>
        <w:jc w:val="both"/>
        <w:rPr>
          <w:noProof/>
          <w:szCs w:val="24"/>
        </w:rPr>
      </w:pPr>
      <w:r w:rsidRPr="008D3831">
        <w:rPr>
          <w:noProof/>
          <w:szCs w:val="24"/>
        </w:rPr>
        <w:t xml:space="preserve">Soesilo, R. 1988. </w:t>
      </w:r>
      <w:r w:rsidRPr="008D3831">
        <w:rPr>
          <w:i/>
          <w:iCs/>
          <w:noProof/>
          <w:szCs w:val="24"/>
        </w:rPr>
        <w:t>Kitab Undang-Undang Hukum Pidana (KUHP) Serta Komentar-Komentarnya Lengkap Pasal Demi Pasal</w:t>
      </w:r>
      <w:r w:rsidRPr="008D3831">
        <w:rPr>
          <w:noProof/>
          <w:szCs w:val="24"/>
        </w:rPr>
        <w:t>. Bogor: Politeia.</w:t>
      </w:r>
    </w:p>
    <w:p w14:paraId="7F2AE9AA" w14:textId="77777777" w:rsidR="00D22624" w:rsidRPr="008D3831" w:rsidRDefault="00D22624" w:rsidP="00D22624">
      <w:pPr>
        <w:widowControl w:val="0"/>
        <w:autoSpaceDE w:val="0"/>
        <w:autoSpaceDN w:val="0"/>
        <w:adjustRightInd w:val="0"/>
        <w:spacing w:before="120" w:after="120"/>
        <w:ind w:left="480" w:hanging="480"/>
        <w:jc w:val="both"/>
        <w:rPr>
          <w:noProof/>
        </w:rPr>
      </w:pPr>
      <w:r w:rsidRPr="008D3831">
        <w:rPr>
          <w:noProof/>
          <w:szCs w:val="24"/>
        </w:rPr>
        <w:t xml:space="preserve">Sugandhi, R. 1980. </w:t>
      </w:r>
      <w:r w:rsidRPr="008D3831">
        <w:rPr>
          <w:i/>
          <w:iCs/>
          <w:noProof/>
          <w:szCs w:val="24"/>
        </w:rPr>
        <w:t>KUHP dan Penjelasannya</w:t>
      </w:r>
      <w:r w:rsidRPr="008D3831">
        <w:rPr>
          <w:noProof/>
          <w:szCs w:val="24"/>
        </w:rPr>
        <w:t>. Surabaya: Usaha Nasional.</w:t>
      </w:r>
    </w:p>
    <w:p w14:paraId="56ACEF6F" w14:textId="34C83851" w:rsidR="00AC2DBB" w:rsidRPr="008D3831" w:rsidRDefault="009A5A46" w:rsidP="00D22624">
      <w:pPr>
        <w:widowControl w:val="0"/>
        <w:autoSpaceDE w:val="0"/>
        <w:autoSpaceDN w:val="0"/>
        <w:adjustRightInd w:val="0"/>
        <w:spacing w:before="120" w:after="120"/>
        <w:ind w:left="480" w:hanging="480"/>
        <w:jc w:val="both"/>
      </w:pPr>
      <w:r w:rsidRPr="008D3831">
        <w:rPr>
          <w:lang w:val="id-ID"/>
        </w:rPr>
        <w:fldChar w:fldCharType="end"/>
      </w:r>
      <w:r w:rsidR="001F7AC1" w:rsidRPr="008D3831">
        <w:rPr>
          <w:rFonts w:eastAsia="Times New Roman"/>
          <w:b/>
          <w:lang w:val="id-ID"/>
        </w:rPr>
        <w:t>Jurnal, Artikel Ilmiah, dan Skripsi</w:t>
      </w:r>
    </w:p>
    <w:p w14:paraId="436A6B09" w14:textId="77777777" w:rsidR="003D0558" w:rsidRPr="008D3831" w:rsidRDefault="003D0558" w:rsidP="0048135E">
      <w:pPr>
        <w:spacing w:before="120" w:after="120"/>
        <w:ind w:left="425" w:hanging="425"/>
        <w:jc w:val="both"/>
        <w:rPr>
          <w:lang w:val="id-ID"/>
        </w:rPr>
      </w:pPr>
      <w:r w:rsidRPr="008D3831">
        <w:rPr>
          <w:lang w:val="id-ID"/>
        </w:rPr>
        <w:t>Amrullah, Andi. 2007. “Penemuan Hukum Oleh Hakim Dalam Memutuskan Suatu Perkara Perdata Di Pengadilan Negeri Watanompe.” Universitas Hasanuddin.</w:t>
      </w:r>
    </w:p>
    <w:p w14:paraId="64991FD2" w14:textId="77777777" w:rsidR="003D0558" w:rsidRPr="008D3831" w:rsidRDefault="003D0558" w:rsidP="0048135E">
      <w:pPr>
        <w:spacing w:before="120" w:after="120"/>
        <w:ind w:left="425" w:hanging="425"/>
        <w:jc w:val="both"/>
        <w:rPr>
          <w:lang w:val="id-ID"/>
        </w:rPr>
      </w:pPr>
      <w:r w:rsidRPr="008D3831">
        <w:rPr>
          <w:lang w:val="id-ID"/>
        </w:rPr>
        <w:t>Nuryadin. 2014. “Kedewasaan Dalam Perspektif Al-Qur’an.” Universitas Islam Negeri Alauddin.</w:t>
      </w:r>
    </w:p>
    <w:p w14:paraId="6166962D" w14:textId="77777777" w:rsidR="003D0558" w:rsidRPr="008D3831" w:rsidRDefault="003D0558" w:rsidP="0048135E">
      <w:pPr>
        <w:spacing w:before="120" w:after="120"/>
        <w:ind w:left="425" w:hanging="425"/>
        <w:jc w:val="both"/>
        <w:rPr>
          <w:lang w:val="id-ID"/>
        </w:rPr>
      </w:pPr>
      <w:r w:rsidRPr="008D3831">
        <w:rPr>
          <w:noProof/>
          <w:szCs w:val="24"/>
          <w:lang w:val="id-ID"/>
        </w:rPr>
        <w:t>Risnayanti. 2018. “Tinjauan Yuridis Terhadap Tindak Pidana Pemerasan Dengan Menggunakan Senjata Tajam.” Universitas Hasanuddin, Makassar.</w:t>
      </w:r>
    </w:p>
    <w:p w14:paraId="379C22DA" w14:textId="77777777" w:rsidR="003D0558" w:rsidRPr="008D3831" w:rsidRDefault="003D0558" w:rsidP="0048135E">
      <w:pPr>
        <w:spacing w:before="120" w:after="120"/>
        <w:ind w:left="425" w:hanging="425"/>
        <w:jc w:val="both"/>
        <w:rPr>
          <w:lang w:val="id-ID"/>
        </w:rPr>
      </w:pPr>
      <w:r w:rsidRPr="008D3831">
        <w:rPr>
          <w:noProof/>
          <w:szCs w:val="24"/>
          <w:lang w:val="id-ID"/>
        </w:rPr>
        <w:t>Rukmana, Fatmawati Indra. 2013. “Interpretasi Hukum Dalam Menentukan Unsur Paksaan Dan Ancaman Yang Melanggar Hukum Sebagai Dasar Pembatalan Perkawinan (Analisis Yuridis Putusan Nomor : 285/ Pdt.G/ 2008/ PA/ Krs Jo. Putusan Nomor: 230/ Pdt. G/2008/ PTA.Sby ).” Universitas Brawijaya, Malang.</w:t>
      </w:r>
    </w:p>
    <w:p w14:paraId="7BF1CB40" w14:textId="77777777" w:rsidR="003D0558" w:rsidRPr="008D3831" w:rsidRDefault="003D0558" w:rsidP="0048135E">
      <w:pPr>
        <w:spacing w:before="120" w:after="120"/>
        <w:ind w:left="425" w:hanging="425"/>
        <w:jc w:val="both"/>
        <w:rPr>
          <w:noProof/>
          <w:szCs w:val="24"/>
        </w:rPr>
      </w:pPr>
      <w:r w:rsidRPr="008D3831">
        <w:rPr>
          <w:noProof/>
          <w:szCs w:val="24"/>
          <w:lang w:val="id-ID"/>
        </w:rPr>
        <w:t>Satriyo Ekoris Sampurno. 2015. “Analisis Yuridis Putusan Pengadilan Negeri Bengkulu Nomor 410/Pid.B/2014/PN.BGL Tentang Tindak Pidana Perkosaan.” 1–19.</w:t>
      </w:r>
    </w:p>
    <w:p w14:paraId="060F5016" w14:textId="77777777" w:rsidR="008B5873" w:rsidRPr="008D3831" w:rsidRDefault="001F7AC1" w:rsidP="0048135E">
      <w:pPr>
        <w:autoSpaceDE w:val="0"/>
        <w:autoSpaceDN w:val="0"/>
        <w:adjustRightInd w:val="0"/>
        <w:spacing w:before="120" w:after="120"/>
        <w:jc w:val="both"/>
        <w:rPr>
          <w:rFonts w:eastAsia="Times New Roman"/>
          <w:b/>
        </w:rPr>
      </w:pPr>
      <w:r w:rsidRPr="008D3831">
        <w:rPr>
          <w:rFonts w:eastAsia="Times New Roman"/>
          <w:b/>
          <w:lang w:val="id-ID"/>
        </w:rPr>
        <w:t>Website</w:t>
      </w:r>
    </w:p>
    <w:p w14:paraId="14801CF5" w14:textId="77777777" w:rsidR="008B5873" w:rsidRPr="008D3831" w:rsidRDefault="00473D31" w:rsidP="0048135E">
      <w:pPr>
        <w:autoSpaceDE w:val="0"/>
        <w:autoSpaceDN w:val="0"/>
        <w:adjustRightInd w:val="0"/>
        <w:spacing w:before="120" w:after="120"/>
        <w:ind w:left="425" w:hanging="425"/>
        <w:jc w:val="both"/>
        <w:rPr>
          <w:lang w:val="id-ID"/>
        </w:rPr>
      </w:pPr>
      <w:r w:rsidRPr="008D3831">
        <w:rPr>
          <w:lang w:val="id-ID"/>
        </w:rPr>
        <w:t xml:space="preserve">KBBI. </w:t>
      </w:r>
      <w:r w:rsidR="008B5873" w:rsidRPr="008D3831">
        <w:rPr>
          <w:lang w:val="id-ID"/>
        </w:rPr>
        <w:t xml:space="preserve">“Definisi Ancaman.” </w:t>
      </w:r>
      <w:r w:rsidR="008B5873" w:rsidRPr="008D3831">
        <w:rPr>
          <w:i/>
          <w:iCs/>
          <w:lang w:val="id-ID"/>
        </w:rPr>
        <w:t>Kamus Besar Bahasa Indonesia</w:t>
      </w:r>
      <w:r w:rsidR="008B5873" w:rsidRPr="008D3831">
        <w:rPr>
          <w:lang w:val="id-ID"/>
        </w:rPr>
        <w:t>. Diambil 23 Maret 2021a (</w:t>
      </w:r>
      <w:hyperlink r:id="rId14" w:history="1">
        <w:r w:rsidR="008B5873" w:rsidRPr="008D3831">
          <w:rPr>
            <w:rStyle w:val="Hyperlink"/>
            <w:color w:val="auto"/>
            <w:lang w:val="id-ID"/>
          </w:rPr>
          <w:t>https://kbbi.web.id/ancam</w:t>
        </w:r>
      </w:hyperlink>
      <w:r w:rsidR="008B5873" w:rsidRPr="008D3831">
        <w:rPr>
          <w:lang w:val="id-ID"/>
        </w:rPr>
        <w:t>).</w:t>
      </w:r>
    </w:p>
    <w:p w14:paraId="11E3A8FD" w14:textId="77777777" w:rsidR="008B5873" w:rsidRPr="008D3831" w:rsidRDefault="008B5873" w:rsidP="0048135E">
      <w:pPr>
        <w:autoSpaceDE w:val="0"/>
        <w:autoSpaceDN w:val="0"/>
        <w:adjustRightInd w:val="0"/>
        <w:spacing w:before="120" w:after="120"/>
        <w:ind w:left="425" w:hanging="425"/>
        <w:jc w:val="both"/>
        <w:rPr>
          <w:lang w:val="id-ID"/>
        </w:rPr>
      </w:pPr>
      <w:r w:rsidRPr="008D3831">
        <w:rPr>
          <w:lang w:val="id-ID"/>
        </w:rPr>
        <w:lastRenderedPageBreak/>
        <w:t>KBBI.</w:t>
      </w:r>
      <w:r w:rsidR="00473D31" w:rsidRPr="008D3831">
        <w:rPr>
          <w:lang w:val="id-ID"/>
        </w:rPr>
        <w:t xml:space="preserve"> “D</w:t>
      </w:r>
      <w:r w:rsidRPr="008D3831">
        <w:rPr>
          <w:lang w:val="id-ID"/>
        </w:rPr>
        <w:t xml:space="preserve">efinisi bujuk.” </w:t>
      </w:r>
      <w:r w:rsidRPr="008D3831">
        <w:rPr>
          <w:i/>
          <w:iCs/>
          <w:lang w:val="id-ID"/>
        </w:rPr>
        <w:t>Kamus Besar Bahasa Indonesia</w:t>
      </w:r>
      <w:r w:rsidRPr="008D3831">
        <w:rPr>
          <w:lang w:val="id-ID"/>
        </w:rPr>
        <w:t>. Diambil 30 Maret 2021b (</w:t>
      </w:r>
      <w:hyperlink r:id="rId15" w:history="1">
        <w:r w:rsidRPr="008D3831">
          <w:rPr>
            <w:rStyle w:val="Hyperlink"/>
            <w:color w:val="auto"/>
            <w:lang w:val="id-ID"/>
          </w:rPr>
          <w:t>https://kbbi.web.id/bujuk</w:t>
        </w:r>
      </w:hyperlink>
      <w:r w:rsidRPr="008D3831">
        <w:rPr>
          <w:lang w:val="id-ID"/>
        </w:rPr>
        <w:t>).</w:t>
      </w:r>
    </w:p>
    <w:p w14:paraId="65D6BE69" w14:textId="77777777" w:rsidR="008B5873" w:rsidRPr="008D3831" w:rsidRDefault="008B5873" w:rsidP="0048135E">
      <w:pPr>
        <w:autoSpaceDE w:val="0"/>
        <w:autoSpaceDN w:val="0"/>
        <w:adjustRightInd w:val="0"/>
        <w:spacing w:before="120" w:after="120"/>
        <w:ind w:left="425" w:hanging="425"/>
        <w:jc w:val="both"/>
        <w:rPr>
          <w:lang w:val="id-ID"/>
        </w:rPr>
      </w:pPr>
      <w:r w:rsidRPr="008D3831">
        <w:rPr>
          <w:lang w:val="id-ID"/>
        </w:rPr>
        <w:t xml:space="preserve">KBBI. “Definisi Kekerasan.” </w:t>
      </w:r>
      <w:r w:rsidRPr="008D3831">
        <w:rPr>
          <w:i/>
          <w:iCs/>
          <w:lang w:val="id-ID"/>
        </w:rPr>
        <w:t>Kamus Besar Bahasa Indonesia</w:t>
      </w:r>
      <w:r w:rsidRPr="008D3831">
        <w:rPr>
          <w:lang w:val="id-ID"/>
        </w:rPr>
        <w:t>. Diambil 20 Maret 2021c (</w:t>
      </w:r>
      <w:hyperlink r:id="rId16" w:history="1">
        <w:r w:rsidRPr="008D3831">
          <w:rPr>
            <w:rStyle w:val="Hyperlink"/>
            <w:color w:val="auto"/>
            <w:lang w:val="id-ID"/>
          </w:rPr>
          <w:t>https://kbbi.web.id/keras</w:t>
        </w:r>
      </w:hyperlink>
      <w:r w:rsidRPr="008D3831">
        <w:rPr>
          <w:lang w:val="id-ID"/>
        </w:rPr>
        <w:t>).</w:t>
      </w:r>
    </w:p>
    <w:p w14:paraId="7A53AD70" w14:textId="77777777" w:rsidR="008B5873" w:rsidRPr="008D3831" w:rsidRDefault="008B5873" w:rsidP="0048135E">
      <w:pPr>
        <w:autoSpaceDE w:val="0"/>
        <w:autoSpaceDN w:val="0"/>
        <w:adjustRightInd w:val="0"/>
        <w:spacing w:before="120" w:after="120"/>
        <w:ind w:left="425" w:hanging="425"/>
        <w:jc w:val="both"/>
        <w:rPr>
          <w:lang w:val="id-ID"/>
        </w:rPr>
      </w:pPr>
      <w:r w:rsidRPr="008D3831">
        <w:rPr>
          <w:lang w:val="id-ID"/>
        </w:rPr>
        <w:t xml:space="preserve">KBBI. “Definisi paksa.” </w:t>
      </w:r>
      <w:r w:rsidRPr="008D3831">
        <w:rPr>
          <w:i/>
          <w:iCs/>
          <w:lang w:val="id-ID"/>
        </w:rPr>
        <w:t>Kamus Besar Bahasa Indonesia</w:t>
      </w:r>
      <w:r w:rsidRPr="008D3831">
        <w:rPr>
          <w:lang w:val="id-ID"/>
        </w:rPr>
        <w:t>. Diambil 27 Maret 2021d (</w:t>
      </w:r>
      <w:hyperlink r:id="rId17" w:history="1">
        <w:r w:rsidRPr="008D3831">
          <w:rPr>
            <w:rStyle w:val="Hyperlink"/>
            <w:color w:val="auto"/>
            <w:lang w:val="id-ID"/>
          </w:rPr>
          <w:t>https://kbbi.web.id/paksa</w:t>
        </w:r>
      </w:hyperlink>
      <w:r w:rsidRPr="008D3831">
        <w:rPr>
          <w:lang w:val="id-ID"/>
        </w:rPr>
        <w:t xml:space="preserve">). </w:t>
      </w:r>
    </w:p>
    <w:p w14:paraId="7731A615" w14:textId="77777777" w:rsidR="003D0558" w:rsidRPr="008D3831" w:rsidRDefault="008B5873" w:rsidP="0048135E">
      <w:pPr>
        <w:autoSpaceDE w:val="0"/>
        <w:autoSpaceDN w:val="0"/>
        <w:adjustRightInd w:val="0"/>
        <w:spacing w:before="120" w:after="120"/>
        <w:ind w:left="425" w:hanging="425"/>
        <w:jc w:val="both"/>
        <w:rPr>
          <w:lang w:val="id-ID"/>
        </w:rPr>
      </w:pPr>
      <w:r w:rsidRPr="008D3831">
        <w:rPr>
          <w:lang w:val="id-ID"/>
        </w:rPr>
        <w:t xml:space="preserve">KBBI. “Definisi Rayu.” </w:t>
      </w:r>
      <w:r w:rsidRPr="008D3831">
        <w:rPr>
          <w:i/>
          <w:iCs/>
          <w:lang w:val="id-ID"/>
        </w:rPr>
        <w:t>Kamus Besar Bahasa Indonesia</w:t>
      </w:r>
      <w:r w:rsidRPr="008D3831">
        <w:rPr>
          <w:lang w:val="id-ID"/>
        </w:rPr>
        <w:t>. Diambil 30 Maret 2021e (</w:t>
      </w:r>
      <w:hyperlink r:id="rId18" w:history="1">
        <w:r w:rsidRPr="008D3831">
          <w:rPr>
            <w:rStyle w:val="Hyperlink"/>
            <w:color w:val="auto"/>
            <w:lang w:val="id-ID"/>
          </w:rPr>
          <w:t>https://kbbi.web.id/rayu-2</w:t>
        </w:r>
      </w:hyperlink>
      <w:r w:rsidRPr="008D3831">
        <w:rPr>
          <w:lang w:val="id-ID"/>
        </w:rPr>
        <w:t xml:space="preserve">). </w:t>
      </w:r>
    </w:p>
    <w:p w14:paraId="46BD7255" w14:textId="77777777" w:rsidR="00AC2DBB" w:rsidRPr="008D3831" w:rsidRDefault="003D0558" w:rsidP="0048135E">
      <w:pPr>
        <w:autoSpaceDE w:val="0"/>
        <w:autoSpaceDN w:val="0"/>
        <w:adjustRightInd w:val="0"/>
        <w:spacing w:before="120" w:after="120"/>
        <w:ind w:left="425" w:hanging="425"/>
        <w:jc w:val="both"/>
        <w:rPr>
          <w:lang w:val="id-ID"/>
        </w:rPr>
      </w:pPr>
      <w:r w:rsidRPr="008D3831">
        <w:rPr>
          <w:lang w:val="id-ID"/>
        </w:rPr>
        <w:t xml:space="preserve">Nugroho, Timothy. 2018. “Pemikiran Pompe Mengenai Analogi Dalam Hukum Pidana.” </w:t>
      </w:r>
      <w:r w:rsidRPr="008D3831">
        <w:rPr>
          <w:i/>
          <w:iCs/>
          <w:lang w:val="id-ID"/>
        </w:rPr>
        <w:t>Vivajusticia.Net</w:t>
      </w:r>
      <w:r w:rsidRPr="008D3831">
        <w:rPr>
          <w:lang w:val="id-ID"/>
        </w:rPr>
        <w:t>. Retrieved (</w:t>
      </w:r>
      <w:hyperlink r:id="rId19" w:history="1">
        <w:r w:rsidRPr="008D3831">
          <w:rPr>
            <w:rStyle w:val="Hyperlink"/>
            <w:color w:val="auto"/>
            <w:lang w:val="id-ID"/>
          </w:rPr>
          <w:t>https://vivajusticia.law.ugm.ac.id/2018/11/29/pemikiran-pompe-mengenai-analogi-dalam-hukum-pidana/</w:t>
        </w:r>
      </w:hyperlink>
      <w:r w:rsidRPr="008D3831">
        <w:rPr>
          <w:lang w:val="id-ID"/>
        </w:rPr>
        <w:t xml:space="preserve">). </w:t>
      </w:r>
    </w:p>
    <w:p w14:paraId="6CD806B6" w14:textId="77777777" w:rsidR="00AC2DBB" w:rsidRPr="008D3831" w:rsidRDefault="001F7AC1" w:rsidP="0048135E">
      <w:pPr>
        <w:spacing w:before="120" w:after="120"/>
        <w:jc w:val="both"/>
        <w:rPr>
          <w:rFonts w:eastAsia="Times New Roman"/>
          <w:b/>
          <w:lang w:val="id-ID"/>
        </w:rPr>
      </w:pPr>
      <w:r w:rsidRPr="008D3831">
        <w:rPr>
          <w:rFonts w:eastAsia="Times New Roman"/>
          <w:b/>
          <w:lang w:val="id-ID"/>
        </w:rPr>
        <w:t>Peraturan Perundang-Undangan</w:t>
      </w:r>
    </w:p>
    <w:p w14:paraId="36865A2C" w14:textId="77777777" w:rsidR="00AC2DBB" w:rsidRPr="008D3831" w:rsidRDefault="001F7AC1" w:rsidP="0048135E">
      <w:pPr>
        <w:autoSpaceDE w:val="0"/>
        <w:autoSpaceDN w:val="0"/>
        <w:adjustRightInd w:val="0"/>
        <w:spacing w:before="120" w:after="120"/>
        <w:ind w:left="425" w:hanging="425"/>
        <w:jc w:val="both"/>
        <w:rPr>
          <w:rFonts w:eastAsia="Times New Roman"/>
          <w:lang w:val="id-ID"/>
        </w:rPr>
      </w:pPr>
      <w:r w:rsidRPr="008D3831">
        <w:rPr>
          <w:rFonts w:eastAsia="Times New Roman"/>
          <w:lang w:val="id-ID"/>
        </w:rPr>
        <w:t>Undang-undang  Nomor 1 Tahun 1946 tentang Peraturan Hukum Pidana;</w:t>
      </w:r>
    </w:p>
    <w:p w14:paraId="5B3E0CBF" w14:textId="77777777" w:rsidR="00AC2DBB" w:rsidRPr="008D3831" w:rsidRDefault="001F7AC1" w:rsidP="0048135E">
      <w:pPr>
        <w:autoSpaceDE w:val="0"/>
        <w:autoSpaceDN w:val="0"/>
        <w:adjustRightInd w:val="0"/>
        <w:spacing w:before="120" w:after="120"/>
        <w:ind w:left="425" w:hanging="425"/>
        <w:jc w:val="both"/>
        <w:rPr>
          <w:rFonts w:eastAsia="Times New Roman"/>
          <w:lang w:val="id-ID"/>
        </w:rPr>
      </w:pPr>
      <w:r w:rsidRPr="008D3831">
        <w:rPr>
          <w:rFonts w:eastAsia="Times New Roman"/>
          <w:lang w:val="id-ID"/>
        </w:rPr>
        <w:t>Undang-Undang Nomor 48 Tahun 2009 Tentang Kekuasaan Kehakiman (Lembaran Negara Republik Indonesia Tahun 2009 Nomor 157, Tambahan  Lembaran Negara Republik Indonesia Nomor 5076);</w:t>
      </w:r>
    </w:p>
    <w:p w14:paraId="767BCF27" w14:textId="77777777" w:rsidR="00AC2DBB" w:rsidRPr="008D3831" w:rsidRDefault="001F7AC1" w:rsidP="0048135E">
      <w:pPr>
        <w:autoSpaceDE w:val="0"/>
        <w:autoSpaceDN w:val="0"/>
        <w:adjustRightInd w:val="0"/>
        <w:spacing w:before="120" w:after="120"/>
        <w:ind w:left="425" w:hanging="425"/>
        <w:jc w:val="both"/>
        <w:rPr>
          <w:rFonts w:eastAsia="Times New Roman"/>
          <w:lang w:val="id-ID"/>
        </w:rPr>
      </w:pPr>
      <w:r w:rsidRPr="008D3831">
        <w:rPr>
          <w:rFonts w:eastAsia="Times New Roman"/>
          <w:lang w:val="id-ID"/>
        </w:rPr>
        <w:t>Undang-Undang Nomor 23 Tahun 2002 Tentang Perlindungan Anak (Lembaran Negara Republik Indonesia Tahun 2002 Nomor 109, Tambahan  Lembaran Negara Republik Indonesia Nomor 5606);</w:t>
      </w:r>
    </w:p>
    <w:p w14:paraId="06C70E39" w14:textId="77777777" w:rsidR="003D0558" w:rsidRPr="008D3831" w:rsidRDefault="003D0558" w:rsidP="0048135E">
      <w:pPr>
        <w:autoSpaceDE w:val="0"/>
        <w:autoSpaceDN w:val="0"/>
        <w:adjustRightInd w:val="0"/>
        <w:spacing w:before="120" w:after="120"/>
        <w:ind w:left="425" w:hanging="425"/>
        <w:jc w:val="both"/>
        <w:rPr>
          <w:rFonts w:eastAsia="Times New Roman"/>
          <w:lang w:val="id-ID"/>
        </w:rPr>
      </w:pPr>
      <w:r w:rsidRPr="008D3831">
        <w:rPr>
          <w:rFonts w:eastAsia="Times New Roman"/>
          <w:lang w:val="id-ID"/>
        </w:rPr>
        <w:t>Undang-Undang Nomor 5 Tahun 2018 tentang Perubahan Atas Undang-Undang Nomor 15 Tahun 2003 Tentang Penetapan Peraturan Pemerintah Pengganti Undang-Undang Nomor 1 Tahun 2002 Tentang Pemberantasan Tindak Pidana Terorisme Menjadi Undang-Undang (Lembaran Negara Republik Indonesia Tahun 2018 Nomor 92, Tambahan Lembaran Negara Republik Indonesia Nomor 6216);</w:t>
      </w:r>
    </w:p>
    <w:p w14:paraId="1D794859" w14:textId="77777777" w:rsidR="003D0558" w:rsidRPr="008D3831" w:rsidRDefault="003D0558" w:rsidP="0048135E">
      <w:pPr>
        <w:autoSpaceDE w:val="0"/>
        <w:autoSpaceDN w:val="0"/>
        <w:adjustRightInd w:val="0"/>
        <w:spacing w:before="120" w:after="120"/>
        <w:ind w:left="425" w:hanging="425"/>
        <w:jc w:val="both"/>
        <w:rPr>
          <w:rFonts w:eastAsia="Times New Roman"/>
          <w:lang w:val="id-ID"/>
        </w:rPr>
      </w:pPr>
      <w:r w:rsidRPr="008D3831">
        <w:rPr>
          <w:rFonts w:eastAsia="Times New Roman"/>
          <w:lang w:val="id-ID"/>
        </w:rPr>
        <w:t>Putusan Mahkamah Konstitusi Nomor Nomor 1/PUU-XI/2013</w:t>
      </w:r>
      <w:bookmarkStart w:id="1" w:name="_GoBack"/>
      <w:bookmarkEnd w:id="1"/>
    </w:p>
    <w:p w14:paraId="50D9352E" w14:textId="77777777" w:rsidR="007A3F97" w:rsidRPr="008D3831" w:rsidRDefault="007A3F97" w:rsidP="0048135E">
      <w:pPr>
        <w:autoSpaceDE w:val="0"/>
        <w:autoSpaceDN w:val="0"/>
        <w:adjustRightInd w:val="0"/>
        <w:spacing w:before="120" w:after="120"/>
        <w:ind w:left="425" w:hanging="425"/>
        <w:jc w:val="both"/>
        <w:rPr>
          <w:rFonts w:eastAsia="Times New Roman"/>
          <w:lang w:val="id-ID"/>
        </w:rPr>
      </w:pPr>
    </w:p>
    <w:p w14:paraId="37D9FE0D" w14:textId="77777777" w:rsidR="00AC2DBB" w:rsidRPr="008D3831" w:rsidRDefault="00AC2DBB">
      <w:pPr>
        <w:pStyle w:val="BodyText1"/>
        <w:spacing w:line="23" w:lineRule="atLeast"/>
        <w:ind w:firstLine="0"/>
        <w:rPr>
          <w:b/>
          <w:lang w:val="id-ID"/>
        </w:rPr>
      </w:pPr>
    </w:p>
    <w:sectPr w:rsidR="00AC2DBB" w:rsidRPr="008D3831">
      <w:type w:val="continuous"/>
      <w:pgSz w:w="11909" w:h="16834"/>
      <w:pgMar w:top="1377" w:right="1134" w:bottom="1418" w:left="1134" w:header="426" w:footer="720" w:gutter="0"/>
      <w:cols w:num="2" w:space="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0803D" w14:textId="77777777" w:rsidR="00B8110D" w:rsidRDefault="00B8110D">
      <w:r>
        <w:separator/>
      </w:r>
    </w:p>
  </w:endnote>
  <w:endnote w:type="continuationSeparator" w:id="0">
    <w:p w14:paraId="2D43A723" w14:textId="77777777" w:rsidR="00B8110D" w:rsidRDefault="00B8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25F8A" w14:textId="1B7C2903" w:rsidR="00CF3B1E" w:rsidRDefault="00CF3B1E">
    <w:pPr>
      <w:pStyle w:val="Footer1"/>
    </w:pPr>
    <w:r>
      <w:fldChar w:fldCharType="begin"/>
    </w:r>
    <w:r>
      <w:instrText xml:space="preserve"> PAGE   \* MERGEFORMAT </w:instrText>
    </w:r>
    <w:r>
      <w:fldChar w:fldCharType="separate"/>
    </w:r>
    <w:r w:rsidR="008D3831">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3F78D" w14:textId="77777777" w:rsidR="00B8110D" w:rsidRDefault="00B8110D">
      <w:r>
        <w:separator/>
      </w:r>
    </w:p>
  </w:footnote>
  <w:footnote w:type="continuationSeparator" w:id="0">
    <w:p w14:paraId="03E09D0C" w14:textId="77777777" w:rsidR="00B8110D" w:rsidRDefault="00B811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324C" w14:textId="77777777" w:rsidR="00CF3B1E" w:rsidRDefault="00C37E36">
    <w:pPr>
      <w:pStyle w:val="Header1"/>
      <w:jc w:val="both"/>
      <w:rPr>
        <w:lang w:val="id-ID"/>
      </w:rPr>
    </w:pPr>
    <w:r>
      <w:rPr>
        <w:noProof/>
        <w:lang w:val="id-ID" w:eastAsia="id-ID"/>
      </w:rPr>
      <w:drawing>
        <wp:anchor distT="0" distB="0" distL="114300" distR="114300" simplePos="0" relativeHeight="251658240" behindDoc="1" locked="0" layoutInCell="0" allowOverlap="1" wp14:anchorId="10061135" wp14:editId="53CEDADF">
          <wp:simplePos x="0" y="0"/>
          <wp:positionH relativeFrom="margin">
            <wp:align>center</wp:align>
          </wp:positionH>
          <wp:positionV relativeFrom="margin">
            <wp:align>center</wp:align>
          </wp:positionV>
          <wp:extent cx="6120130" cy="6120130"/>
          <wp:effectExtent l="0" t="0" r="0" b="0"/>
          <wp:wrapNone/>
          <wp:docPr id="2" name="Picture 2" descr="unesa-bi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esa-biru"/>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pic:spPr>
              </pic:pic>
            </a:graphicData>
          </a:graphic>
          <wp14:sizeRelH relativeFrom="page">
            <wp14:pctWidth>0</wp14:pctWidth>
          </wp14:sizeRelH>
          <wp14:sizeRelV relativeFrom="page">
            <wp14:pctHeight>0</wp14:pctHeight>
          </wp14:sizeRelV>
        </wp:anchor>
      </w:drawing>
    </w:r>
    <w:r w:rsidR="00CF3B1E">
      <w:rPr>
        <w:noProof/>
        <w:lang w:val="id-ID" w:eastAsia="id-ID"/>
      </w:rPr>
      <w:drawing>
        <wp:anchor distT="0" distB="0" distL="0" distR="0" simplePos="0" relativeHeight="251656192" behindDoc="1" locked="0" layoutInCell="1" allowOverlap="1" wp14:anchorId="41AF74D4" wp14:editId="0321BE5D">
          <wp:simplePos x="0" y="0"/>
          <wp:positionH relativeFrom="margin">
            <wp:align>center</wp:align>
          </wp:positionH>
          <wp:positionV relativeFrom="margin">
            <wp:align>center</wp:align>
          </wp:positionV>
          <wp:extent cx="6119495" cy="6119495"/>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119495" cy="611949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B5A8" w14:textId="77777777" w:rsidR="00CF3B1E" w:rsidRDefault="00C37E36">
    <w:pPr>
      <w:pStyle w:val="Header1"/>
    </w:pPr>
    <w:r>
      <w:rPr>
        <w:i/>
        <w:noProof/>
        <w:lang w:val="id-ID" w:eastAsia="id-ID"/>
      </w:rPr>
      <w:drawing>
        <wp:anchor distT="0" distB="0" distL="114300" distR="114300" simplePos="0" relativeHeight="251659264" behindDoc="1" locked="0" layoutInCell="0" allowOverlap="1" wp14:anchorId="4090A4FE" wp14:editId="08166864">
          <wp:simplePos x="0" y="0"/>
          <wp:positionH relativeFrom="margin">
            <wp:align>center</wp:align>
          </wp:positionH>
          <wp:positionV relativeFrom="margin">
            <wp:align>center</wp:align>
          </wp:positionV>
          <wp:extent cx="6120130" cy="6120130"/>
          <wp:effectExtent l="0" t="0" r="0" b="0"/>
          <wp:wrapNone/>
          <wp:docPr id="1" name="Picture 1" descr="unesa-bi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a-biru"/>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pic:spPr>
              </pic:pic>
            </a:graphicData>
          </a:graphic>
          <wp14:sizeRelH relativeFrom="page">
            <wp14:pctWidth>0</wp14:pctWidth>
          </wp14:sizeRelH>
          <wp14:sizeRelV relativeFrom="page">
            <wp14:pctHeight>0</wp14:pctHeight>
          </wp14:sizeRelV>
        </wp:anchor>
      </w:drawing>
    </w:r>
    <w:r w:rsidR="00CF3B1E">
      <w:rPr>
        <w:i/>
        <w:noProof/>
        <w:lang w:val="id-ID" w:eastAsia="id-ID"/>
      </w:rPr>
      <w:drawing>
        <wp:anchor distT="0" distB="0" distL="114300" distR="114300" simplePos="0" relativeHeight="251657216" behindDoc="1" locked="0" layoutInCell="0" allowOverlap="1" wp14:anchorId="5EAF6CB7" wp14:editId="0AEA7EA7">
          <wp:simplePos x="0" y="0"/>
          <wp:positionH relativeFrom="margin">
            <wp:posOffset>22225</wp:posOffset>
          </wp:positionH>
          <wp:positionV relativeFrom="margin">
            <wp:posOffset>1503680</wp:posOffset>
          </wp:positionV>
          <wp:extent cx="6119495" cy="6119495"/>
          <wp:effectExtent l="0" t="0" r="0" b="0"/>
          <wp:wrapNone/>
          <wp:docPr id="23"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935624" descr="LOGO BIRU DI ATAS PUTIH"/>
                  <pic:cNvPicPr>
                    <a:picLocks noChangeAspect="1"/>
                  </pic:cNvPicPr>
                </pic:nvPicPr>
                <pic:blipFill>
                  <a:blip r:embed="rId2">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75015" w14:textId="77777777" w:rsidR="00CF3B1E" w:rsidRDefault="00B8110D">
    <w:pPr>
      <w:pStyle w:val="Header1"/>
    </w:pPr>
    <w:r>
      <w:rPr>
        <w:noProof/>
      </w:rPr>
      <w:pict w14:anchorId="4FABC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left:0;text-align:left;margin-left:0;margin-top:0;width:481.9pt;height:481.9pt;z-index:-251656192;mso-position-horizontal:center;mso-position-horizontal-relative:margin;mso-position-vertical:center;mso-position-vertical-relative:margin" o:allowincell="f">
          <v:imagedata r:id="rId1" o:title="unesa-biru" gain="19661f" blacklevel="22938f"/>
          <w10:wrap anchorx="margin" anchory="margin"/>
        </v:shape>
      </w:pict>
    </w:r>
    <w:r w:rsidR="00CF3B1E">
      <w:rPr>
        <w:noProof/>
        <w:lang w:val="id-ID" w:eastAsia="id-ID"/>
      </w:rPr>
      <w:drawing>
        <wp:anchor distT="0" distB="0" distL="0" distR="0" simplePos="0" relativeHeight="251655168" behindDoc="1" locked="0" layoutInCell="1" allowOverlap="1" wp14:anchorId="43DF249D" wp14:editId="628C7D44">
          <wp:simplePos x="0" y="0"/>
          <wp:positionH relativeFrom="margin">
            <wp:align>center</wp:align>
          </wp:positionH>
          <wp:positionV relativeFrom="margin">
            <wp:align>center</wp:align>
          </wp:positionV>
          <wp:extent cx="6119495" cy="6119495"/>
          <wp:effectExtent l="0" t="0" r="0" b="0"/>
          <wp:wrapNone/>
          <wp:docPr id="24" name="Image1"/>
          <wp:cNvGraphicFramePr/>
          <a:graphic xmlns:a="http://schemas.openxmlformats.org/drawingml/2006/main">
            <a:graphicData uri="http://schemas.openxmlformats.org/drawingml/2006/picture">
              <pic:pic xmlns:pic="http://schemas.openxmlformats.org/drawingml/2006/picture">
                <pic:nvPicPr>
                  <pic:cNvPr id="6" name="Image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119495" cy="61194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pStyle w:val="Figurecaption"/>
      <w:lvlText w:val="Figure %1. "/>
      <w:lvlJc w:val="left"/>
      <w:pPr>
        <w:tabs>
          <w:tab w:val="left" w:pos="720"/>
        </w:tabs>
      </w:pPr>
      <w:rPr>
        <w:rFonts w:ascii="Times New Roman" w:hAnsi="Times New Roman" w:cs="Times New Roman"/>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15:restartNumberingAfterBreak="0">
    <w:nsid w:val="00000009"/>
    <w:multiLevelType w:val="multilevel"/>
    <w:tmpl w:val="00000009"/>
    <w:lvl w:ilvl="0">
      <w:start w:val="1"/>
      <w:numFmt w:val="bullet"/>
      <w:pStyle w:val="Bulletlist"/>
      <w:lvlText w:val=""/>
      <w:lvlJc w:val="left"/>
      <w:pPr>
        <w:tabs>
          <w:tab w:val="left" w:pos="72"/>
        </w:tabs>
        <w:ind w:left="72" w:hanging="360"/>
      </w:pPr>
      <w:rPr>
        <w:rFonts w:ascii="Symbol" w:hAnsi="Symbol"/>
      </w:rPr>
    </w:lvl>
    <w:lvl w:ilvl="1">
      <w:start w:val="1"/>
      <w:numFmt w:val="bullet"/>
      <w:lvlText w:val="o"/>
      <w:lvlJc w:val="left"/>
      <w:pPr>
        <w:tabs>
          <w:tab w:val="left" w:pos="864"/>
        </w:tabs>
        <w:ind w:left="864" w:hanging="360"/>
      </w:pPr>
      <w:rPr>
        <w:rFonts w:ascii="Courier New" w:hAnsi="Courier New"/>
      </w:rPr>
    </w:lvl>
    <w:lvl w:ilvl="2">
      <w:start w:val="1"/>
      <w:numFmt w:val="bullet"/>
      <w:lvlText w:val=""/>
      <w:lvlJc w:val="left"/>
      <w:pPr>
        <w:tabs>
          <w:tab w:val="left" w:pos="1584"/>
        </w:tabs>
        <w:ind w:left="1584" w:hanging="360"/>
      </w:pPr>
      <w:rPr>
        <w:rFonts w:ascii="Wingdings" w:hAnsi="Wingdings"/>
      </w:rPr>
    </w:lvl>
    <w:lvl w:ilvl="3">
      <w:start w:val="1"/>
      <w:numFmt w:val="bullet"/>
      <w:lvlText w:val=""/>
      <w:lvlJc w:val="left"/>
      <w:pPr>
        <w:tabs>
          <w:tab w:val="left" w:pos="2304"/>
        </w:tabs>
        <w:ind w:left="2304" w:hanging="360"/>
      </w:pPr>
      <w:rPr>
        <w:rFonts w:ascii="Symbol" w:hAnsi="Symbol"/>
      </w:rPr>
    </w:lvl>
    <w:lvl w:ilvl="4">
      <w:start w:val="1"/>
      <w:numFmt w:val="bullet"/>
      <w:lvlText w:val="o"/>
      <w:lvlJc w:val="left"/>
      <w:pPr>
        <w:tabs>
          <w:tab w:val="left" w:pos="3024"/>
        </w:tabs>
        <w:ind w:left="3024" w:hanging="360"/>
      </w:pPr>
      <w:rPr>
        <w:rFonts w:ascii="Courier New" w:hAnsi="Courier New"/>
      </w:rPr>
    </w:lvl>
    <w:lvl w:ilvl="5">
      <w:start w:val="1"/>
      <w:numFmt w:val="bullet"/>
      <w:lvlText w:val=""/>
      <w:lvlJc w:val="left"/>
      <w:pPr>
        <w:tabs>
          <w:tab w:val="left" w:pos="3744"/>
        </w:tabs>
        <w:ind w:left="3744" w:hanging="360"/>
      </w:pPr>
      <w:rPr>
        <w:rFonts w:ascii="Wingdings" w:hAnsi="Wingdings"/>
      </w:rPr>
    </w:lvl>
    <w:lvl w:ilvl="6">
      <w:start w:val="1"/>
      <w:numFmt w:val="bullet"/>
      <w:lvlText w:val=""/>
      <w:lvlJc w:val="left"/>
      <w:pPr>
        <w:tabs>
          <w:tab w:val="left" w:pos="4464"/>
        </w:tabs>
        <w:ind w:left="4464" w:hanging="360"/>
      </w:pPr>
      <w:rPr>
        <w:rFonts w:ascii="Symbol" w:hAnsi="Symbol"/>
      </w:rPr>
    </w:lvl>
    <w:lvl w:ilvl="7">
      <w:start w:val="1"/>
      <w:numFmt w:val="bullet"/>
      <w:lvlText w:val="o"/>
      <w:lvlJc w:val="left"/>
      <w:pPr>
        <w:tabs>
          <w:tab w:val="left" w:pos="5184"/>
        </w:tabs>
        <w:ind w:left="5184" w:hanging="360"/>
      </w:pPr>
      <w:rPr>
        <w:rFonts w:ascii="Courier New" w:hAnsi="Courier New"/>
      </w:rPr>
    </w:lvl>
    <w:lvl w:ilvl="8">
      <w:start w:val="1"/>
      <w:numFmt w:val="bullet"/>
      <w:lvlText w:val=""/>
      <w:lvlJc w:val="left"/>
      <w:pPr>
        <w:tabs>
          <w:tab w:val="left" w:pos="5904"/>
        </w:tabs>
        <w:ind w:left="5904" w:hanging="360"/>
      </w:pPr>
      <w:rPr>
        <w:rFonts w:ascii="Wingdings" w:hAnsi="Wingdings"/>
      </w:rPr>
    </w:lvl>
  </w:abstractNum>
  <w:abstractNum w:abstractNumId="2" w15:restartNumberingAfterBreak="0">
    <w:nsid w:val="0000000A"/>
    <w:multiLevelType w:val="singleLevel"/>
    <w:tmpl w:val="0000000A"/>
    <w:lvl w:ilvl="0">
      <w:start w:val="1"/>
      <w:numFmt w:val="upperRoman"/>
      <w:pStyle w:val="Tablehead"/>
      <w:lvlText w:val="TABLE %1. "/>
      <w:lvlJc w:val="left"/>
      <w:pPr>
        <w:tabs>
          <w:tab w:val="left" w:pos="1080"/>
        </w:tabs>
      </w:pPr>
      <w:rPr>
        <w:rFonts w:ascii="Times New Roman" w:hAnsi="Times New Roman" w:cs="Times New Roman"/>
        <w:b w:val="0"/>
        <w:bCs w:val="0"/>
        <w:i w:val="0"/>
        <w:iCs w:val="0"/>
        <w:sz w:val="16"/>
        <w:szCs w:val="16"/>
      </w:rPr>
    </w:lvl>
  </w:abstractNum>
  <w:abstractNum w:abstractNumId="3" w15:restartNumberingAfterBreak="0">
    <w:nsid w:val="0000000F"/>
    <w:multiLevelType w:val="singleLevel"/>
    <w:tmpl w:val="0000000F"/>
    <w:lvl w:ilvl="0">
      <w:start w:val="1"/>
      <w:numFmt w:val="decimal"/>
      <w:pStyle w:val="References"/>
      <w:lvlText w:val="[%1]"/>
      <w:lvlJc w:val="left"/>
      <w:pPr>
        <w:tabs>
          <w:tab w:val="left" w:pos="360"/>
        </w:tabs>
        <w:ind w:left="360" w:hanging="360"/>
      </w:pPr>
      <w:rPr>
        <w:rFonts w:ascii="Times New Roman" w:hAnsi="Times New Roman" w:cs="Times New Roman"/>
        <w:b w:val="0"/>
        <w:bCs w:val="0"/>
        <w:i w:val="0"/>
        <w:iCs w:val="0"/>
        <w:sz w:val="16"/>
        <w:szCs w:val="16"/>
      </w:rPr>
    </w:lvl>
  </w:abstractNum>
  <w:abstractNum w:abstractNumId="4" w15:restartNumberingAfterBreak="0">
    <w:nsid w:val="00000019"/>
    <w:multiLevelType w:val="multilevel"/>
    <w:tmpl w:val="00000019"/>
    <w:lvl w:ilvl="0">
      <w:start w:val="1"/>
      <w:numFmt w:val="decimal"/>
      <w:pStyle w:val="Footnote"/>
      <w:lvlText w:val="%1 "/>
      <w:lvlJc w:val="left"/>
      <w:pPr>
        <w:tabs>
          <w:tab w:val="left" w:pos="648"/>
        </w:tabs>
        <w:ind w:firstLine="288"/>
      </w:pPr>
      <w:rPr>
        <w:rFonts w:ascii="Times New Roman" w:hAnsi="Times New Roman" w:cs="Times New Roman"/>
        <w:b w:val="0"/>
        <w:bCs w:val="0"/>
        <w:i w:val="0"/>
        <w:iCs w:val="0"/>
        <w:caps w:val="0"/>
        <w:vanish w:val="0"/>
        <w:color w:val="000000"/>
        <w:sz w:val="16"/>
        <w:szCs w:val="16"/>
        <w:vertAlign w:val="superscrip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 w15:restartNumberingAfterBreak="0">
    <w:nsid w:val="0000001A"/>
    <w:multiLevelType w:val="multilevel"/>
    <w:tmpl w:val="0000001A"/>
    <w:lvl w:ilvl="0">
      <w:start w:val="1"/>
      <w:numFmt w:val="upperRoman"/>
      <w:pStyle w:val="Heading11"/>
      <w:lvlText w:val="%1."/>
      <w:lvlJc w:val="center"/>
      <w:pPr>
        <w:tabs>
          <w:tab w:val="left" w:pos="576"/>
        </w:tabs>
        <w:ind w:firstLine="216"/>
      </w:pPr>
      <w:rPr>
        <w:rFonts w:ascii="Times New Roman" w:hAnsi="Times New Roman" w:cs="Times New Roman"/>
        <w:caps w:val="0"/>
        <w:vanish w:val="0"/>
        <w:color w:val="auto"/>
        <w:sz w:val="20"/>
        <w:szCs w:val="20"/>
        <w:vertAlign w:val="baseline"/>
      </w:rPr>
    </w:lvl>
    <w:lvl w:ilvl="1">
      <w:start w:val="1"/>
      <w:numFmt w:val="upperLetter"/>
      <w:pStyle w:val="Heading21"/>
      <w:lvlText w:val="%2."/>
      <w:lvlJc w:val="left"/>
      <w:pPr>
        <w:tabs>
          <w:tab w:val="left" w:pos="360"/>
        </w:tabs>
        <w:ind w:left="288" w:hanging="288"/>
      </w:pPr>
      <w:rPr>
        <w:rFonts w:ascii="Times New Roman" w:hAnsi="Times New Roman" w:cs="Times New Roman"/>
        <w:b w:val="0"/>
        <w:bCs w:val="0"/>
        <w:i/>
        <w:iCs/>
        <w:caps w:val="0"/>
        <w:vanish w:val="0"/>
        <w:color w:val="auto"/>
        <w:sz w:val="20"/>
        <w:szCs w:val="20"/>
        <w:vertAlign w:val="baseline"/>
      </w:rPr>
    </w:lvl>
    <w:lvl w:ilvl="2">
      <w:start w:val="1"/>
      <w:numFmt w:val="decimal"/>
      <w:pStyle w:val="Heading31"/>
      <w:lvlText w:val="%3)"/>
      <w:lvlJc w:val="left"/>
      <w:pPr>
        <w:tabs>
          <w:tab w:val="left" w:pos="540"/>
        </w:tabs>
        <w:ind w:firstLine="180"/>
      </w:pPr>
      <w:rPr>
        <w:rFonts w:ascii="Times New Roman" w:hAnsi="Times New Roman" w:cs="Times New Roman"/>
        <w:b w:val="0"/>
        <w:bCs w:val="0"/>
        <w:i/>
        <w:iCs/>
        <w:caps w:val="0"/>
        <w:vanish w:val="0"/>
        <w:color w:val="auto"/>
        <w:sz w:val="20"/>
        <w:szCs w:val="20"/>
        <w:vertAlign w:val="baseline"/>
      </w:rPr>
    </w:lvl>
    <w:lvl w:ilvl="3">
      <w:start w:val="1"/>
      <w:numFmt w:val="lowerLetter"/>
      <w:pStyle w:val="Heading41"/>
      <w:lvlText w:val="%4)"/>
      <w:lvlJc w:val="left"/>
      <w:pPr>
        <w:tabs>
          <w:tab w:val="left" w:pos="720"/>
        </w:tabs>
        <w:ind w:firstLine="360"/>
      </w:pPr>
      <w:rPr>
        <w:rFonts w:ascii="Times New Roman" w:hAnsi="Times New Roman" w:cs="Times New Roman"/>
        <w:b w:val="0"/>
        <w:bCs w:val="0"/>
        <w:i/>
        <w:iCs/>
        <w:sz w:val="20"/>
        <w:szCs w:val="20"/>
      </w:rPr>
    </w:lvl>
    <w:lvl w:ilvl="4">
      <w:start w:val="1"/>
      <w:numFmt w:val="decimal"/>
      <w:lvlText w:val=""/>
      <w:lvlJc w:val="left"/>
      <w:pPr>
        <w:tabs>
          <w:tab w:val="left" w:pos="3240"/>
        </w:tabs>
        <w:ind w:left="2880"/>
      </w:pPr>
      <w:rPr>
        <w:rFonts w:cs="Times New Roman"/>
      </w:rPr>
    </w:lvl>
    <w:lvl w:ilvl="5">
      <w:start w:val="1"/>
      <w:numFmt w:val="lowerLetter"/>
      <w:lvlText w:val="(%6)"/>
      <w:lvlJc w:val="left"/>
      <w:pPr>
        <w:tabs>
          <w:tab w:val="left" w:pos="3960"/>
        </w:tabs>
        <w:ind w:left="3600"/>
      </w:pPr>
      <w:rPr>
        <w:rFonts w:cs="Times New Roman"/>
      </w:rPr>
    </w:lvl>
    <w:lvl w:ilvl="6">
      <w:start w:val="1"/>
      <w:numFmt w:val="lowerRoman"/>
      <w:lvlText w:val="(%7)"/>
      <w:lvlJc w:val="left"/>
      <w:pPr>
        <w:tabs>
          <w:tab w:val="left" w:pos="4680"/>
        </w:tabs>
        <w:ind w:left="4320"/>
      </w:pPr>
      <w:rPr>
        <w:rFonts w:cs="Times New Roman"/>
      </w:rPr>
    </w:lvl>
    <w:lvl w:ilvl="7">
      <w:start w:val="1"/>
      <w:numFmt w:val="lowerLetter"/>
      <w:lvlText w:val="(%8)"/>
      <w:lvlJc w:val="left"/>
      <w:pPr>
        <w:tabs>
          <w:tab w:val="left" w:pos="5400"/>
        </w:tabs>
        <w:ind w:left="5040"/>
      </w:pPr>
      <w:rPr>
        <w:rFonts w:cs="Times New Roman"/>
      </w:rPr>
    </w:lvl>
    <w:lvl w:ilvl="8">
      <w:start w:val="1"/>
      <w:numFmt w:val="lowerRoman"/>
      <w:lvlText w:val="(%9)"/>
      <w:lvlJc w:val="left"/>
      <w:pPr>
        <w:tabs>
          <w:tab w:val="left" w:pos="6120"/>
        </w:tabs>
        <w:ind w:left="5760"/>
      </w:pPr>
      <w:rPr>
        <w:rFonts w:cs="Times New Roman"/>
      </w:rPr>
    </w:lvl>
  </w:abstractNum>
  <w:abstractNum w:abstractNumId="6" w15:restartNumberingAfterBreak="0">
    <w:nsid w:val="09D612E5"/>
    <w:multiLevelType w:val="hybridMultilevel"/>
    <w:tmpl w:val="FAA66B94"/>
    <w:lvl w:ilvl="0" w:tplc="0409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 w15:restartNumberingAfterBreak="0">
    <w:nsid w:val="168646E8"/>
    <w:multiLevelType w:val="multilevel"/>
    <w:tmpl w:val="168646E8"/>
    <w:lvl w:ilvl="0">
      <w:start w:val="1"/>
      <w:numFmt w:val="lowerLetter"/>
      <w:lvlText w:val="%1)"/>
      <w:lvlJc w:val="left"/>
      <w:pPr>
        <w:ind w:left="2181" w:hanging="360"/>
      </w:pPr>
    </w:lvl>
    <w:lvl w:ilvl="1">
      <w:start w:val="1"/>
      <w:numFmt w:val="lowerLetter"/>
      <w:lvlText w:val="%2."/>
      <w:lvlJc w:val="left"/>
      <w:pPr>
        <w:ind w:left="2901" w:hanging="360"/>
      </w:pPr>
    </w:lvl>
    <w:lvl w:ilvl="2">
      <w:start w:val="1"/>
      <w:numFmt w:val="lowerRoman"/>
      <w:lvlText w:val="%3."/>
      <w:lvlJc w:val="right"/>
      <w:pPr>
        <w:ind w:left="3621" w:hanging="180"/>
      </w:pPr>
    </w:lvl>
    <w:lvl w:ilvl="3">
      <w:start w:val="1"/>
      <w:numFmt w:val="decimal"/>
      <w:lvlText w:val="%4."/>
      <w:lvlJc w:val="left"/>
      <w:pPr>
        <w:ind w:left="4341" w:hanging="360"/>
      </w:pPr>
    </w:lvl>
    <w:lvl w:ilvl="4">
      <w:start w:val="1"/>
      <w:numFmt w:val="lowerLetter"/>
      <w:lvlText w:val="%5."/>
      <w:lvlJc w:val="left"/>
      <w:pPr>
        <w:ind w:left="5061" w:hanging="360"/>
      </w:pPr>
    </w:lvl>
    <w:lvl w:ilvl="5">
      <w:start w:val="1"/>
      <w:numFmt w:val="lowerRoman"/>
      <w:lvlText w:val="%6."/>
      <w:lvlJc w:val="right"/>
      <w:pPr>
        <w:ind w:left="5781" w:hanging="180"/>
      </w:pPr>
    </w:lvl>
    <w:lvl w:ilvl="6">
      <w:start w:val="1"/>
      <w:numFmt w:val="decimal"/>
      <w:lvlText w:val="%7."/>
      <w:lvlJc w:val="left"/>
      <w:pPr>
        <w:ind w:left="6501" w:hanging="360"/>
      </w:pPr>
    </w:lvl>
    <w:lvl w:ilvl="7">
      <w:start w:val="1"/>
      <w:numFmt w:val="lowerLetter"/>
      <w:lvlText w:val="%8."/>
      <w:lvlJc w:val="left"/>
      <w:pPr>
        <w:ind w:left="7221" w:hanging="360"/>
      </w:pPr>
    </w:lvl>
    <w:lvl w:ilvl="8">
      <w:start w:val="1"/>
      <w:numFmt w:val="lowerRoman"/>
      <w:lvlText w:val="%9."/>
      <w:lvlJc w:val="right"/>
      <w:pPr>
        <w:ind w:left="7941" w:hanging="180"/>
      </w:pPr>
    </w:lvl>
  </w:abstractNum>
  <w:abstractNum w:abstractNumId="8" w15:restartNumberingAfterBreak="0">
    <w:nsid w:val="1AE207A5"/>
    <w:multiLevelType w:val="multilevel"/>
    <w:tmpl w:val="1AE207A5"/>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9" w15:restartNumberingAfterBreak="0">
    <w:nsid w:val="1C0A7336"/>
    <w:multiLevelType w:val="hybridMultilevel"/>
    <w:tmpl w:val="BEFC543E"/>
    <w:lvl w:ilvl="0" w:tplc="0409000F">
      <w:start w:val="1"/>
      <w:numFmt w:val="decimal"/>
      <w:lvlText w:val="%1."/>
      <w:lvlJc w:val="left"/>
      <w:pPr>
        <w:ind w:left="2181" w:hanging="360"/>
      </w:pPr>
    </w:lvl>
    <w:lvl w:ilvl="1" w:tplc="04090019" w:tentative="1">
      <w:start w:val="1"/>
      <w:numFmt w:val="lowerLetter"/>
      <w:lvlText w:val="%2."/>
      <w:lvlJc w:val="left"/>
      <w:pPr>
        <w:ind w:left="2901" w:hanging="360"/>
      </w:pPr>
    </w:lvl>
    <w:lvl w:ilvl="2" w:tplc="0409001B" w:tentative="1">
      <w:start w:val="1"/>
      <w:numFmt w:val="lowerRoman"/>
      <w:lvlText w:val="%3."/>
      <w:lvlJc w:val="right"/>
      <w:pPr>
        <w:ind w:left="3621" w:hanging="180"/>
      </w:pPr>
    </w:lvl>
    <w:lvl w:ilvl="3" w:tplc="0409000F" w:tentative="1">
      <w:start w:val="1"/>
      <w:numFmt w:val="decimal"/>
      <w:lvlText w:val="%4."/>
      <w:lvlJc w:val="left"/>
      <w:pPr>
        <w:ind w:left="4341" w:hanging="360"/>
      </w:pPr>
    </w:lvl>
    <w:lvl w:ilvl="4" w:tplc="04090019" w:tentative="1">
      <w:start w:val="1"/>
      <w:numFmt w:val="lowerLetter"/>
      <w:lvlText w:val="%5."/>
      <w:lvlJc w:val="left"/>
      <w:pPr>
        <w:ind w:left="5061" w:hanging="360"/>
      </w:pPr>
    </w:lvl>
    <w:lvl w:ilvl="5" w:tplc="0409001B" w:tentative="1">
      <w:start w:val="1"/>
      <w:numFmt w:val="lowerRoman"/>
      <w:lvlText w:val="%6."/>
      <w:lvlJc w:val="right"/>
      <w:pPr>
        <w:ind w:left="5781" w:hanging="180"/>
      </w:pPr>
    </w:lvl>
    <w:lvl w:ilvl="6" w:tplc="0409000F" w:tentative="1">
      <w:start w:val="1"/>
      <w:numFmt w:val="decimal"/>
      <w:lvlText w:val="%7."/>
      <w:lvlJc w:val="left"/>
      <w:pPr>
        <w:ind w:left="6501" w:hanging="360"/>
      </w:pPr>
    </w:lvl>
    <w:lvl w:ilvl="7" w:tplc="04090019" w:tentative="1">
      <w:start w:val="1"/>
      <w:numFmt w:val="lowerLetter"/>
      <w:lvlText w:val="%8."/>
      <w:lvlJc w:val="left"/>
      <w:pPr>
        <w:ind w:left="7221" w:hanging="360"/>
      </w:pPr>
    </w:lvl>
    <w:lvl w:ilvl="8" w:tplc="0409001B" w:tentative="1">
      <w:start w:val="1"/>
      <w:numFmt w:val="lowerRoman"/>
      <w:lvlText w:val="%9."/>
      <w:lvlJc w:val="right"/>
      <w:pPr>
        <w:ind w:left="7941" w:hanging="180"/>
      </w:pPr>
    </w:lvl>
  </w:abstractNum>
  <w:abstractNum w:abstractNumId="10" w15:restartNumberingAfterBreak="0">
    <w:nsid w:val="2470EC97"/>
    <w:multiLevelType w:val="multilevel"/>
    <w:tmpl w:val="2470EC97"/>
    <w:lvl w:ilvl="0">
      <w:start w:val="1"/>
      <w:numFmt w:val="decimal"/>
      <w:lvlText w:val="%1."/>
      <w:lvlJc w:val="left"/>
      <w:pPr>
        <w:ind w:left="862" w:hanging="720"/>
      </w:pPr>
      <w:rPr>
        <w:rFonts w:ascii="Times New Roman" w:eastAsia="Times New Roman" w:hAnsi="Times New Roman" w:cs="Times New Roman" w:hint="default"/>
        <w:w w:val="100"/>
        <w:sz w:val="22"/>
        <w:szCs w:val="22"/>
        <w:lang w:val="en-US" w:eastAsia="en-US" w:bidi="ar-SA"/>
      </w:rPr>
    </w:lvl>
    <w:lvl w:ilvl="1">
      <w:start w:val="1"/>
      <w:numFmt w:val="lowerLetter"/>
      <w:lvlText w:val="%2."/>
      <w:lvlJc w:val="left"/>
      <w:pPr>
        <w:ind w:left="862" w:hanging="360"/>
      </w:pPr>
      <w:rPr>
        <w:rFonts w:ascii="Times New Roman" w:eastAsia="Times New Roman" w:hAnsi="Times New Roman" w:cs="Times New Roman" w:hint="default"/>
        <w:w w:val="100"/>
        <w:sz w:val="22"/>
        <w:szCs w:val="22"/>
        <w:lang w:val="en-US" w:eastAsia="en-US" w:bidi="ar-SA"/>
      </w:rPr>
    </w:lvl>
    <w:lvl w:ilvl="2">
      <w:start w:val="1"/>
      <w:numFmt w:val="decimal"/>
      <w:lvlText w:val="%3."/>
      <w:lvlJc w:val="left"/>
      <w:pPr>
        <w:ind w:left="1222" w:hanging="360"/>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2966" w:hanging="360"/>
      </w:pPr>
      <w:rPr>
        <w:rFonts w:hint="default"/>
        <w:lang w:val="en-US" w:eastAsia="en-US" w:bidi="ar-SA"/>
      </w:rPr>
    </w:lvl>
    <w:lvl w:ilvl="4">
      <w:numFmt w:val="bullet"/>
      <w:lvlText w:val="•"/>
      <w:lvlJc w:val="left"/>
      <w:pPr>
        <w:ind w:left="3840" w:hanging="360"/>
      </w:pPr>
      <w:rPr>
        <w:rFonts w:hint="default"/>
        <w:lang w:val="en-US" w:eastAsia="en-US" w:bidi="ar-SA"/>
      </w:rPr>
    </w:lvl>
    <w:lvl w:ilvl="5">
      <w:numFmt w:val="bullet"/>
      <w:lvlText w:val="•"/>
      <w:lvlJc w:val="left"/>
      <w:pPr>
        <w:ind w:left="4713" w:hanging="360"/>
      </w:pPr>
      <w:rPr>
        <w:rFonts w:hint="default"/>
        <w:lang w:val="en-US" w:eastAsia="en-US" w:bidi="ar-SA"/>
      </w:rPr>
    </w:lvl>
    <w:lvl w:ilvl="6">
      <w:numFmt w:val="bullet"/>
      <w:lvlText w:val="•"/>
      <w:lvlJc w:val="left"/>
      <w:pPr>
        <w:ind w:left="5586" w:hanging="360"/>
      </w:pPr>
      <w:rPr>
        <w:rFonts w:hint="default"/>
        <w:lang w:val="en-US" w:eastAsia="en-US" w:bidi="ar-SA"/>
      </w:rPr>
    </w:lvl>
    <w:lvl w:ilvl="7">
      <w:numFmt w:val="bullet"/>
      <w:lvlText w:val="•"/>
      <w:lvlJc w:val="left"/>
      <w:pPr>
        <w:ind w:left="6460" w:hanging="360"/>
      </w:pPr>
      <w:rPr>
        <w:rFonts w:hint="default"/>
        <w:lang w:val="en-US" w:eastAsia="en-US" w:bidi="ar-SA"/>
      </w:rPr>
    </w:lvl>
    <w:lvl w:ilvl="8">
      <w:numFmt w:val="bullet"/>
      <w:lvlText w:val="•"/>
      <w:lvlJc w:val="left"/>
      <w:pPr>
        <w:ind w:left="7333" w:hanging="360"/>
      </w:pPr>
      <w:rPr>
        <w:rFonts w:hint="default"/>
        <w:lang w:val="en-US" w:eastAsia="en-US" w:bidi="ar-SA"/>
      </w:rPr>
    </w:lvl>
  </w:abstractNum>
  <w:abstractNum w:abstractNumId="11" w15:restartNumberingAfterBreak="0">
    <w:nsid w:val="31070857"/>
    <w:multiLevelType w:val="multilevel"/>
    <w:tmpl w:val="31070857"/>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2" w15:restartNumberingAfterBreak="0">
    <w:nsid w:val="32B46F8F"/>
    <w:multiLevelType w:val="multilevel"/>
    <w:tmpl w:val="32B46F8F"/>
    <w:lvl w:ilvl="0">
      <w:start w:val="1"/>
      <w:numFmt w:val="bullet"/>
      <w:lvlText w:val=""/>
      <w:lvlJc w:val="left"/>
      <w:pPr>
        <w:ind w:left="1942" w:hanging="360"/>
      </w:pPr>
      <w:rPr>
        <w:rFonts w:ascii="Symbol" w:hAnsi="Symbol" w:hint="default"/>
      </w:rPr>
    </w:lvl>
    <w:lvl w:ilvl="1">
      <w:start w:val="1"/>
      <w:numFmt w:val="bullet"/>
      <w:lvlText w:val="o"/>
      <w:lvlJc w:val="left"/>
      <w:pPr>
        <w:ind w:left="2662" w:hanging="360"/>
      </w:pPr>
      <w:rPr>
        <w:rFonts w:ascii="Courier New" w:hAnsi="Courier New" w:cs="Courier New" w:hint="default"/>
      </w:rPr>
    </w:lvl>
    <w:lvl w:ilvl="2">
      <w:start w:val="1"/>
      <w:numFmt w:val="bullet"/>
      <w:lvlText w:val=""/>
      <w:lvlJc w:val="left"/>
      <w:pPr>
        <w:ind w:left="3382" w:hanging="360"/>
      </w:pPr>
      <w:rPr>
        <w:rFonts w:ascii="Wingdings" w:hAnsi="Wingdings"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3" w15:restartNumberingAfterBreak="0">
    <w:nsid w:val="3B15571D"/>
    <w:multiLevelType w:val="hybridMultilevel"/>
    <w:tmpl w:val="9DAA1C8E"/>
    <w:lvl w:ilvl="0" w:tplc="668EDA24">
      <w:start w:val="1"/>
      <w:numFmt w:val="decimal"/>
      <w:lvlText w:val="%1."/>
      <w:lvlJc w:val="left"/>
      <w:pPr>
        <w:ind w:left="1926" w:hanging="360"/>
      </w:pPr>
      <w:rPr>
        <w:rFonts w:hint="default"/>
        <w:sz w:val="24"/>
        <w:szCs w:val="24"/>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4" w15:restartNumberingAfterBreak="0">
    <w:nsid w:val="439A3BBD"/>
    <w:multiLevelType w:val="multilevel"/>
    <w:tmpl w:val="439A3BBD"/>
    <w:lvl w:ilvl="0">
      <w:start w:val="1"/>
      <w:numFmt w:val="decimal"/>
      <w:lvlText w:val="%1."/>
      <w:lvlJc w:val="left"/>
      <w:pPr>
        <w:ind w:left="1855" w:hanging="360"/>
      </w:pPr>
      <w:rPr>
        <w:rFonts w:hint="default"/>
        <w:sz w:val="20"/>
        <w:szCs w:val="20"/>
      </w:r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15" w15:restartNumberingAfterBreak="0">
    <w:nsid w:val="4AF563D7"/>
    <w:multiLevelType w:val="multilevel"/>
    <w:tmpl w:val="4AF563D7"/>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15:restartNumberingAfterBreak="0">
    <w:nsid w:val="4EC80BFC"/>
    <w:multiLevelType w:val="multilevel"/>
    <w:tmpl w:val="4EC80BFC"/>
    <w:lvl w:ilvl="0">
      <w:start w:val="1"/>
      <w:numFmt w:val="decimal"/>
      <w:suff w:val="space"/>
      <w:lvlText w:val="%1."/>
      <w:lvlJc w:val="left"/>
      <w:pPr>
        <w:ind w:left="360" w:hanging="360"/>
      </w:pPr>
      <w:rPr>
        <w:rFonts w:ascii="Book Antiqua" w:hAnsi="Book Antiqua" w:hint="default"/>
        <w:sz w:val="24"/>
      </w:rPr>
    </w:lvl>
    <w:lvl w:ilvl="1">
      <w:start w:val="1"/>
      <w:numFmt w:val="decimal"/>
      <w:suff w:val="space"/>
      <w:lvlText w:val="1.%2."/>
      <w:lvlJc w:val="left"/>
      <w:pPr>
        <w:ind w:left="720" w:hanging="360"/>
      </w:pPr>
      <w:rPr>
        <w:rFonts w:ascii="Book Antiqua" w:hAnsi="Book Antiqua" w:hint="default"/>
        <w:sz w:val="24"/>
      </w:rPr>
    </w:lvl>
    <w:lvl w:ilvl="2">
      <w:start w:val="1"/>
      <w:numFmt w:val="decimal"/>
      <w:suff w:val="space"/>
      <w:lvlText w:val="1.1.%3."/>
      <w:lvlJc w:val="left"/>
      <w:pPr>
        <w:ind w:left="1080" w:hanging="360"/>
      </w:pPr>
      <w:rPr>
        <w:rFonts w:hint="default"/>
      </w:rPr>
    </w:lvl>
    <w:lvl w:ilvl="3">
      <w:start w:val="1"/>
      <w:numFmt w:val="decimal"/>
      <w:suff w:val="space"/>
      <w:lvlText w:val="1.1.1.%4."/>
      <w:lvlJc w:val="left"/>
      <w:pPr>
        <w:ind w:left="1440" w:hanging="360"/>
      </w:pPr>
      <w:rPr>
        <w:rFonts w:hint="default"/>
      </w:rPr>
    </w:lvl>
    <w:lvl w:ilvl="4">
      <w:start w:val="1"/>
      <w:numFmt w:val="decimal"/>
      <w:suff w:val="space"/>
      <w:lvlText w:val="1.1.1.1.%5."/>
      <w:lvlJc w:val="left"/>
      <w:pPr>
        <w:ind w:left="1800" w:hanging="360"/>
      </w:pPr>
      <w:rPr>
        <w:rFonts w:hint="default"/>
      </w:rPr>
    </w:lvl>
    <w:lvl w:ilvl="5">
      <w:start w:val="1"/>
      <w:numFmt w:val="decimal"/>
      <w:suff w:val="space"/>
      <w:lvlText w:val="1.1.1.1.1.%6."/>
      <w:lvlJc w:val="left"/>
      <w:pPr>
        <w:ind w:left="2160" w:hanging="360"/>
      </w:pPr>
      <w:rPr>
        <w:rFonts w:hint="default"/>
      </w:rPr>
    </w:lvl>
    <w:lvl w:ilvl="6">
      <w:start w:val="1"/>
      <w:numFmt w:val="decimal"/>
      <w:suff w:val="space"/>
      <w:lvlText w:val="%7.1.1.1.1.1.1."/>
      <w:lvlJc w:val="left"/>
      <w:pPr>
        <w:ind w:left="2520" w:hanging="360"/>
      </w:pPr>
      <w:rPr>
        <w:rFonts w:hint="default"/>
      </w:rPr>
    </w:lvl>
    <w:lvl w:ilvl="7">
      <w:start w:val="1"/>
      <w:numFmt w:val="decimal"/>
      <w:suff w:val="space"/>
      <w:lvlText w:val="%8.1.1.1.1.1.1.1."/>
      <w:lvlJc w:val="left"/>
      <w:pPr>
        <w:ind w:left="2880" w:hanging="360"/>
      </w:pPr>
      <w:rPr>
        <w:rFonts w:hint="default"/>
      </w:rPr>
    </w:lvl>
    <w:lvl w:ilvl="8">
      <w:start w:val="1"/>
      <w:numFmt w:val="decimal"/>
      <w:suff w:val="space"/>
      <w:lvlText w:val="%9.1.1.1.1.1.1.1.1."/>
      <w:lvlJc w:val="left"/>
      <w:pPr>
        <w:ind w:left="3240" w:hanging="360"/>
      </w:pPr>
      <w:rPr>
        <w:rFonts w:hint="default"/>
      </w:rPr>
    </w:lvl>
  </w:abstractNum>
  <w:abstractNum w:abstractNumId="17" w15:restartNumberingAfterBreak="0">
    <w:nsid w:val="57F64E82"/>
    <w:multiLevelType w:val="hybridMultilevel"/>
    <w:tmpl w:val="2FD20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11B12"/>
    <w:multiLevelType w:val="multilevel"/>
    <w:tmpl w:val="69A11B12"/>
    <w:lvl w:ilvl="0">
      <w:start w:val="1"/>
      <w:numFmt w:val="decimal"/>
      <w:lvlText w:val="%1."/>
      <w:lvlJc w:val="left"/>
      <w:pPr>
        <w:ind w:left="720" w:hanging="360"/>
      </w:pPr>
      <w:rPr>
        <w:rFonts w:hint="default"/>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B07D0A"/>
    <w:multiLevelType w:val="multilevel"/>
    <w:tmpl w:val="73B07D0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15:restartNumberingAfterBreak="0">
    <w:nsid w:val="779F6CE0"/>
    <w:multiLevelType w:val="multilevel"/>
    <w:tmpl w:val="27C2965C"/>
    <w:lvl w:ilvl="0">
      <w:start w:val="1"/>
      <w:numFmt w:val="lowerLetter"/>
      <w:lvlText w:val="%1."/>
      <w:lvlJc w:val="left"/>
      <w:pPr>
        <w:ind w:left="1494" w:hanging="360"/>
      </w:pPr>
      <w:rPr>
        <w:rFonts w:hint="default"/>
        <w:b/>
      </w:rPr>
    </w:lvl>
    <w:lvl w:ilvl="1">
      <w:start w:val="3"/>
      <w:numFmt w:val="bullet"/>
      <w:lvlText w:val="-"/>
      <w:lvlJc w:val="left"/>
      <w:pPr>
        <w:ind w:left="2214" w:hanging="360"/>
      </w:pPr>
      <w:rPr>
        <w:rFonts w:ascii="Book Antiqua" w:eastAsia="SimSun" w:hAnsi="Book Antiqua" w:cs="Book Antiqua" w:hint="default"/>
        <w:color w:val="000000"/>
      </w:rPr>
    </w:lvl>
    <w:lvl w:ilvl="2">
      <w:start w:val="1"/>
      <w:numFmt w:val="lowerRoman"/>
      <w:lvlText w:val="%3."/>
      <w:lvlJc w:val="right"/>
      <w:pPr>
        <w:ind w:left="2934" w:hanging="180"/>
      </w:pPr>
    </w:lvl>
    <w:lvl w:ilvl="3">
      <w:start w:val="1"/>
      <w:numFmt w:val="lowerLetter"/>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1" w15:restartNumberingAfterBreak="0">
    <w:nsid w:val="7D1A3061"/>
    <w:multiLevelType w:val="hybridMultilevel"/>
    <w:tmpl w:val="BEFC543E"/>
    <w:lvl w:ilvl="0" w:tplc="0409000F">
      <w:start w:val="1"/>
      <w:numFmt w:val="decimal"/>
      <w:lvlText w:val="%1."/>
      <w:lvlJc w:val="left"/>
      <w:pPr>
        <w:ind w:left="2181" w:hanging="360"/>
      </w:pPr>
    </w:lvl>
    <w:lvl w:ilvl="1" w:tplc="04090019" w:tentative="1">
      <w:start w:val="1"/>
      <w:numFmt w:val="lowerLetter"/>
      <w:lvlText w:val="%2."/>
      <w:lvlJc w:val="left"/>
      <w:pPr>
        <w:ind w:left="2901" w:hanging="360"/>
      </w:pPr>
    </w:lvl>
    <w:lvl w:ilvl="2" w:tplc="0409001B" w:tentative="1">
      <w:start w:val="1"/>
      <w:numFmt w:val="lowerRoman"/>
      <w:lvlText w:val="%3."/>
      <w:lvlJc w:val="right"/>
      <w:pPr>
        <w:ind w:left="3621" w:hanging="180"/>
      </w:pPr>
    </w:lvl>
    <w:lvl w:ilvl="3" w:tplc="0409000F" w:tentative="1">
      <w:start w:val="1"/>
      <w:numFmt w:val="decimal"/>
      <w:lvlText w:val="%4."/>
      <w:lvlJc w:val="left"/>
      <w:pPr>
        <w:ind w:left="4341" w:hanging="360"/>
      </w:pPr>
    </w:lvl>
    <w:lvl w:ilvl="4" w:tplc="04090019" w:tentative="1">
      <w:start w:val="1"/>
      <w:numFmt w:val="lowerLetter"/>
      <w:lvlText w:val="%5."/>
      <w:lvlJc w:val="left"/>
      <w:pPr>
        <w:ind w:left="5061" w:hanging="360"/>
      </w:pPr>
    </w:lvl>
    <w:lvl w:ilvl="5" w:tplc="0409001B" w:tentative="1">
      <w:start w:val="1"/>
      <w:numFmt w:val="lowerRoman"/>
      <w:lvlText w:val="%6."/>
      <w:lvlJc w:val="right"/>
      <w:pPr>
        <w:ind w:left="5781" w:hanging="180"/>
      </w:pPr>
    </w:lvl>
    <w:lvl w:ilvl="6" w:tplc="0409000F" w:tentative="1">
      <w:start w:val="1"/>
      <w:numFmt w:val="decimal"/>
      <w:lvlText w:val="%7."/>
      <w:lvlJc w:val="left"/>
      <w:pPr>
        <w:ind w:left="6501" w:hanging="360"/>
      </w:pPr>
    </w:lvl>
    <w:lvl w:ilvl="7" w:tplc="04090019" w:tentative="1">
      <w:start w:val="1"/>
      <w:numFmt w:val="lowerLetter"/>
      <w:lvlText w:val="%8."/>
      <w:lvlJc w:val="left"/>
      <w:pPr>
        <w:ind w:left="7221" w:hanging="360"/>
      </w:pPr>
    </w:lvl>
    <w:lvl w:ilvl="8" w:tplc="0409001B" w:tentative="1">
      <w:start w:val="1"/>
      <w:numFmt w:val="lowerRoman"/>
      <w:lvlText w:val="%9."/>
      <w:lvlJc w:val="right"/>
      <w:pPr>
        <w:ind w:left="7941" w:hanging="180"/>
      </w:pPr>
    </w:lvl>
  </w:abstractNum>
  <w:num w:numId="1">
    <w:abstractNumId w:val="16"/>
    <w:lvlOverride w:ilvl="0">
      <w:lvl w:ilvl="0" w:tentative="1">
        <w:start w:val="1"/>
        <w:numFmt w:val="decimal"/>
        <w:suff w:val="space"/>
        <w:lvlText w:val="%1."/>
        <w:lvlJc w:val="left"/>
        <w:pPr>
          <w:ind w:left="360" w:hanging="360"/>
        </w:pPr>
        <w:rPr>
          <w:rFonts w:ascii="Book Antiqua" w:hAnsi="Book Antiqua" w:hint="default"/>
          <w:sz w:val="24"/>
        </w:rPr>
      </w:lvl>
    </w:lvlOverride>
    <w:lvlOverride w:ilvl="1">
      <w:lvl w:ilvl="1" w:tentative="1">
        <w:start w:val="1"/>
        <w:numFmt w:val="decimal"/>
        <w:suff w:val="space"/>
        <w:lvlText w:val="1.%2."/>
        <w:lvlJc w:val="left"/>
        <w:pPr>
          <w:ind w:left="720" w:hanging="360"/>
        </w:pPr>
        <w:rPr>
          <w:rFonts w:ascii="Book Antiqua" w:hAnsi="Book Antiqua" w:hint="default"/>
          <w:sz w:val="24"/>
        </w:rPr>
      </w:lvl>
    </w:lvlOverride>
    <w:lvlOverride w:ilvl="2">
      <w:lvl w:ilvl="2" w:tentative="1">
        <w:start w:val="1"/>
        <w:numFmt w:val="decimal"/>
        <w:suff w:val="space"/>
        <w:lvlText w:val="%1.%2.%3."/>
        <w:lvlJc w:val="left"/>
        <w:pPr>
          <w:ind w:left="1080" w:hanging="360"/>
        </w:pPr>
        <w:rPr>
          <w:rFonts w:hint="default"/>
          <w:b/>
          <w:bCs w:val="0"/>
          <w:i w:val="0"/>
          <w:iCs w:val="0"/>
          <w:caps w:val="0"/>
          <w:strike w:val="0"/>
          <w:dstrike w:val="0"/>
          <w:vanish w:val="0"/>
          <w:spacing w:val="0"/>
          <w:kern w:val="0"/>
          <w:position w:val="0"/>
          <w:u w:val="none"/>
          <w:vertAlign w:val="baseline"/>
          <w14:ligatures w14:val="none"/>
          <w14:numForm w14:val="default"/>
          <w14:numSpacing w14:val="default"/>
        </w:rPr>
      </w:lvl>
    </w:lvlOverride>
    <w:lvlOverride w:ilvl="3">
      <w:lvl w:ilvl="3" w:tentative="1">
        <w:start w:val="1"/>
        <w:numFmt w:val="decimal"/>
        <w:suff w:val="space"/>
        <w:lvlText w:val="1.1.1.%4."/>
        <w:lvlJc w:val="left"/>
        <w:pPr>
          <w:ind w:left="1440" w:hanging="360"/>
        </w:pPr>
        <w:rPr>
          <w:rFonts w:hint="default"/>
        </w:rPr>
      </w:lvl>
    </w:lvlOverride>
    <w:lvlOverride w:ilvl="4">
      <w:lvl w:ilvl="4" w:tentative="1">
        <w:start w:val="1"/>
        <w:numFmt w:val="decimal"/>
        <w:suff w:val="space"/>
        <w:lvlText w:val="1.1.1.1.%5."/>
        <w:lvlJc w:val="left"/>
        <w:pPr>
          <w:ind w:left="1800" w:hanging="360"/>
        </w:pPr>
        <w:rPr>
          <w:rFonts w:hint="default"/>
        </w:rPr>
      </w:lvl>
    </w:lvlOverride>
    <w:lvlOverride w:ilvl="5">
      <w:lvl w:ilvl="5" w:tentative="1">
        <w:start w:val="1"/>
        <w:numFmt w:val="decimal"/>
        <w:suff w:val="space"/>
        <w:lvlText w:val="1.1.1.1.1.%6."/>
        <w:lvlJc w:val="left"/>
        <w:pPr>
          <w:ind w:left="2160" w:hanging="360"/>
        </w:pPr>
        <w:rPr>
          <w:rFonts w:hint="default"/>
        </w:rPr>
      </w:lvl>
    </w:lvlOverride>
    <w:lvlOverride w:ilvl="6">
      <w:lvl w:ilvl="6" w:tentative="1">
        <w:start w:val="1"/>
        <w:numFmt w:val="decimal"/>
        <w:suff w:val="space"/>
        <w:lvlText w:val="%7.1.1.1.1.1.1."/>
        <w:lvlJc w:val="left"/>
        <w:pPr>
          <w:ind w:left="2520" w:hanging="360"/>
        </w:pPr>
        <w:rPr>
          <w:rFonts w:hint="default"/>
        </w:rPr>
      </w:lvl>
    </w:lvlOverride>
    <w:lvlOverride w:ilvl="7">
      <w:lvl w:ilvl="7" w:tentative="1">
        <w:start w:val="1"/>
        <w:numFmt w:val="decimal"/>
        <w:suff w:val="space"/>
        <w:lvlText w:val="%8.1.1.1.1.1.1.1."/>
        <w:lvlJc w:val="left"/>
        <w:pPr>
          <w:ind w:left="2880" w:hanging="360"/>
        </w:pPr>
        <w:rPr>
          <w:rFonts w:hint="default"/>
        </w:rPr>
      </w:lvl>
    </w:lvlOverride>
    <w:lvlOverride w:ilvl="8">
      <w:lvl w:ilvl="8" w:tentative="1">
        <w:start w:val="1"/>
        <w:numFmt w:val="decimal"/>
        <w:suff w:val="space"/>
        <w:lvlText w:val="%9.1.1.1.1.1.1.1.1."/>
        <w:lvlJc w:val="left"/>
        <w:pPr>
          <w:ind w:left="3240" w:hanging="360"/>
        </w:pPr>
        <w:rPr>
          <w:rFonts w:hint="default"/>
        </w:rPr>
      </w:lvl>
    </w:lvlOverride>
  </w:num>
  <w:num w:numId="2">
    <w:abstractNumId w:val="5"/>
  </w:num>
  <w:num w:numId="3">
    <w:abstractNumId w:val="4"/>
  </w:num>
  <w:num w:numId="4">
    <w:abstractNumId w:val="1"/>
  </w:num>
  <w:num w:numId="5">
    <w:abstractNumId w:val="3"/>
  </w:num>
  <w:num w:numId="6">
    <w:abstractNumId w:val="0"/>
  </w:num>
  <w:num w:numId="7">
    <w:abstractNumId w:val="2"/>
  </w:num>
  <w:num w:numId="8">
    <w:abstractNumId w:val="19"/>
  </w:num>
  <w:num w:numId="9">
    <w:abstractNumId w:val="10"/>
  </w:num>
  <w:num w:numId="10">
    <w:abstractNumId w:val="12"/>
  </w:num>
  <w:num w:numId="11">
    <w:abstractNumId w:val="8"/>
  </w:num>
  <w:num w:numId="12">
    <w:abstractNumId w:val="15"/>
  </w:num>
  <w:num w:numId="13">
    <w:abstractNumId w:val="20"/>
  </w:num>
  <w:num w:numId="14">
    <w:abstractNumId w:val="11"/>
  </w:num>
  <w:num w:numId="15">
    <w:abstractNumId w:val="7"/>
  </w:num>
  <w:num w:numId="16">
    <w:abstractNumId w:val="14"/>
  </w:num>
  <w:num w:numId="17">
    <w:abstractNumId w:val="18"/>
  </w:num>
  <w:num w:numId="18">
    <w:abstractNumId w:val="9"/>
  </w:num>
  <w:num w:numId="19">
    <w:abstractNumId w:val="6"/>
  </w:num>
  <w:num w:numId="20">
    <w:abstractNumId w:val="13"/>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Q2BiITA3NTI0tjMyUdpeDU4uLM/DyQApNaAP4e04AsAAAA"/>
  </w:docVars>
  <w:rsids>
    <w:rsidRoot w:val="00BF461E"/>
    <w:rsid w:val="000163DC"/>
    <w:rsid w:val="00024F8F"/>
    <w:rsid w:val="00037382"/>
    <w:rsid w:val="000540C1"/>
    <w:rsid w:val="000A2D89"/>
    <w:rsid w:val="000B1F3F"/>
    <w:rsid w:val="000C356D"/>
    <w:rsid w:val="00122CEA"/>
    <w:rsid w:val="0013031A"/>
    <w:rsid w:val="00130617"/>
    <w:rsid w:val="001602EB"/>
    <w:rsid w:val="001709D1"/>
    <w:rsid w:val="001868B0"/>
    <w:rsid w:val="00187A63"/>
    <w:rsid w:val="00194542"/>
    <w:rsid w:val="001E159E"/>
    <w:rsid w:val="001E6CF3"/>
    <w:rsid w:val="001E75F2"/>
    <w:rsid w:val="001F7AC1"/>
    <w:rsid w:val="002216D4"/>
    <w:rsid w:val="002232FE"/>
    <w:rsid w:val="00261957"/>
    <w:rsid w:val="002A7657"/>
    <w:rsid w:val="002B7EB2"/>
    <w:rsid w:val="002C00B8"/>
    <w:rsid w:val="002D74D3"/>
    <w:rsid w:val="002E4647"/>
    <w:rsid w:val="002F3FA0"/>
    <w:rsid w:val="00301BEA"/>
    <w:rsid w:val="00304CE5"/>
    <w:rsid w:val="00305CE1"/>
    <w:rsid w:val="0034481B"/>
    <w:rsid w:val="00375F5E"/>
    <w:rsid w:val="0038032A"/>
    <w:rsid w:val="00393377"/>
    <w:rsid w:val="003A41F9"/>
    <w:rsid w:val="003A6A4A"/>
    <w:rsid w:val="003D0558"/>
    <w:rsid w:val="003F71BF"/>
    <w:rsid w:val="00407CF7"/>
    <w:rsid w:val="00414755"/>
    <w:rsid w:val="0041548D"/>
    <w:rsid w:val="00436544"/>
    <w:rsid w:val="00452318"/>
    <w:rsid w:val="004644EC"/>
    <w:rsid w:val="004674EE"/>
    <w:rsid w:val="00473D31"/>
    <w:rsid w:val="0048135E"/>
    <w:rsid w:val="00481E2D"/>
    <w:rsid w:val="004B2CE9"/>
    <w:rsid w:val="004B3034"/>
    <w:rsid w:val="004B5F3E"/>
    <w:rsid w:val="004C1184"/>
    <w:rsid w:val="004F56BB"/>
    <w:rsid w:val="005061F6"/>
    <w:rsid w:val="00517773"/>
    <w:rsid w:val="005408F9"/>
    <w:rsid w:val="0054369B"/>
    <w:rsid w:val="005653B8"/>
    <w:rsid w:val="005761E2"/>
    <w:rsid w:val="00581B67"/>
    <w:rsid w:val="00585734"/>
    <w:rsid w:val="00590544"/>
    <w:rsid w:val="005945E0"/>
    <w:rsid w:val="005A136C"/>
    <w:rsid w:val="005D7F8F"/>
    <w:rsid w:val="005E2183"/>
    <w:rsid w:val="00606014"/>
    <w:rsid w:val="006218C7"/>
    <w:rsid w:val="00622B20"/>
    <w:rsid w:val="006465AB"/>
    <w:rsid w:val="006715F6"/>
    <w:rsid w:val="00681ED4"/>
    <w:rsid w:val="00697443"/>
    <w:rsid w:val="006A6C47"/>
    <w:rsid w:val="006C1553"/>
    <w:rsid w:val="006D408D"/>
    <w:rsid w:val="006E2DAD"/>
    <w:rsid w:val="006F7743"/>
    <w:rsid w:val="00713322"/>
    <w:rsid w:val="007143E3"/>
    <w:rsid w:val="00716C6E"/>
    <w:rsid w:val="00747B06"/>
    <w:rsid w:val="007568CF"/>
    <w:rsid w:val="00756C4E"/>
    <w:rsid w:val="0075703E"/>
    <w:rsid w:val="00757710"/>
    <w:rsid w:val="00761A9F"/>
    <w:rsid w:val="00784E04"/>
    <w:rsid w:val="007A20CD"/>
    <w:rsid w:val="007A2F1B"/>
    <w:rsid w:val="007A3F97"/>
    <w:rsid w:val="007A656E"/>
    <w:rsid w:val="007E509B"/>
    <w:rsid w:val="00815054"/>
    <w:rsid w:val="00823FD4"/>
    <w:rsid w:val="00840B8C"/>
    <w:rsid w:val="00841AB4"/>
    <w:rsid w:val="008514F2"/>
    <w:rsid w:val="008542A0"/>
    <w:rsid w:val="00865ACA"/>
    <w:rsid w:val="008711D3"/>
    <w:rsid w:val="00871A99"/>
    <w:rsid w:val="0088414C"/>
    <w:rsid w:val="0089214D"/>
    <w:rsid w:val="008B5873"/>
    <w:rsid w:val="008D3831"/>
    <w:rsid w:val="008D7E50"/>
    <w:rsid w:val="008F150C"/>
    <w:rsid w:val="009146CE"/>
    <w:rsid w:val="0093448B"/>
    <w:rsid w:val="00935D97"/>
    <w:rsid w:val="009439C6"/>
    <w:rsid w:val="009A5A46"/>
    <w:rsid w:val="009C1DA8"/>
    <w:rsid w:val="009F097E"/>
    <w:rsid w:val="009F3124"/>
    <w:rsid w:val="00A10106"/>
    <w:rsid w:val="00A374BB"/>
    <w:rsid w:val="00A53698"/>
    <w:rsid w:val="00A70B18"/>
    <w:rsid w:val="00AC2DBB"/>
    <w:rsid w:val="00AC6BF1"/>
    <w:rsid w:val="00AD3A01"/>
    <w:rsid w:val="00AF4529"/>
    <w:rsid w:val="00AF5760"/>
    <w:rsid w:val="00B273F0"/>
    <w:rsid w:val="00B31EED"/>
    <w:rsid w:val="00B5038C"/>
    <w:rsid w:val="00B549CB"/>
    <w:rsid w:val="00B75AA8"/>
    <w:rsid w:val="00B80C0E"/>
    <w:rsid w:val="00B8110D"/>
    <w:rsid w:val="00BA7DC1"/>
    <w:rsid w:val="00BE720A"/>
    <w:rsid w:val="00BF461E"/>
    <w:rsid w:val="00C07392"/>
    <w:rsid w:val="00C100E8"/>
    <w:rsid w:val="00C1458B"/>
    <w:rsid w:val="00C14F5B"/>
    <w:rsid w:val="00C37E36"/>
    <w:rsid w:val="00C419D6"/>
    <w:rsid w:val="00C47A51"/>
    <w:rsid w:val="00C67796"/>
    <w:rsid w:val="00C7441F"/>
    <w:rsid w:val="00CA2EF2"/>
    <w:rsid w:val="00CB565E"/>
    <w:rsid w:val="00CE65C3"/>
    <w:rsid w:val="00CF3B1E"/>
    <w:rsid w:val="00D04F60"/>
    <w:rsid w:val="00D13275"/>
    <w:rsid w:val="00D14E27"/>
    <w:rsid w:val="00D22624"/>
    <w:rsid w:val="00D46729"/>
    <w:rsid w:val="00D8269E"/>
    <w:rsid w:val="00DB011D"/>
    <w:rsid w:val="00DE52AA"/>
    <w:rsid w:val="00DE7F03"/>
    <w:rsid w:val="00E35178"/>
    <w:rsid w:val="00E42811"/>
    <w:rsid w:val="00E464A7"/>
    <w:rsid w:val="00E46CFA"/>
    <w:rsid w:val="00E72564"/>
    <w:rsid w:val="00E76343"/>
    <w:rsid w:val="00EA5D49"/>
    <w:rsid w:val="00EB45F5"/>
    <w:rsid w:val="00EC776F"/>
    <w:rsid w:val="00ED00AC"/>
    <w:rsid w:val="00ED3534"/>
    <w:rsid w:val="00EE4832"/>
    <w:rsid w:val="00F00A6C"/>
    <w:rsid w:val="00F121D4"/>
    <w:rsid w:val="00F312C9"/>
    <w:rsid w:val="00F41FB2"/>
    <w:rsid w:val="00FE0CD3"/>
    <w:rsid w:val="00FF4367"/>
    <w:rsid w:val="137E0311"/>
    <w:rsid w:val="19E67F60"/>
    <w:rsid w:val="222D1F24"/>
    <w:rsid w:val="2821787F"/>
    <w:rsid w:val="430D27D4"/>
    <w:rsid w:val="5E670CA8"/>
    <w:rsid w:val="60641C7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2AE7890"/>
  <w15:docId w15:val="{6A4E88AE-AA4A-4846-8B0B-50EEEB1D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2">
    <w:name w:val="heading 2"/>
    <w:basedOn w:val="ListParagraph"/>
    <w:next w:val="Normal"/>
    <w:uiPriority w:val="9"/>
    <w:unhideWhenUsed/>
    <w:qFormat/>
    <w:pPr>
      <w:spacing w:line="360" w:lineRule="auto"/>
      <w:ind w:left="851" w:hanging="360"/>
      <w:jc w:val="both"/>
      <w:outlineLvl w:val="1"/>
    </w:pPr>
    <w:rPr>
      <w:rFonts w:ascii="Book Antiqua" w:eastAsia="Times New Roman" w:hAnsi="Book Antiqu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1"/>
    <w:uiPriority w:val="1"/>
    <w:qFormat/>
    <w:pPr>
      <w:widowControl w:val="0"/>
      <w:autoSpaceDE w:val="0"/>
      <w:autoSpaceDN w:val="0"/>
      <w:jc w:val="left"/>
    </w:pPr>
    <w:rPr>
      <w:rFonts w:eastAsia="Times New Roman"/>
      <w:sz w:val="24"/>
      <w:szCs w:val="24"/>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rFonts w:ascii="Times New Roman" w:eastAsia="SimSun" w:hAnsi="Times New Roman" w:cs="Times New Roman"/>
      <w:i/>
      <w:iCs/>
    </w:rPr>
  </w:style>
  <w:style w:type="paragraph" w:styleId="Footer">
    <w:name w:val="footer"/>
    <w:basedOn w:val="Normal"/>
    <w:link w:val="FooterChar"/>
    <w:uiPriority w:val="99"/>
    <w:unhideWhenUsed/>
    <w:qFormat/>
    <w:pPr>
      <w:tabs>
        <w:tab w:val="center" w:pos="4513"/>
        <w:tab w:val="right" w:pos="9026"/>
      </w:tabs>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1"/>
    <w:uiPriority w:val="99"/>
    <w:unhideWhenUsed/>
    <w:qFormat/>
    <w:pPr>
      <w:jc w:val="left"/>
    </w:pPr>
    <w:rPr>
      <w:rFonts w:ascii="Calibri" w:eastAsia="Calibri" w:hAnsi="Calibri"/>
    </w:rPr>
  </w:style>
  <w:style w:type="paragraph" w:styleId="HTMLPreformatted">
    <w:name w:val="HTML Preformatted"/>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styleId="Hyperlink">
    <w:name w:val="Hyperlink"/>
    <w:basedOn w:val="DefaultParagraphFont"/>
    <w:qFormat/>
    <w:rPr>
      <w:rFonts w:ascii="Times New Roman" w:eastAsia="SimSun" w:hAnsi="Times New Roman" w:cs="Times New Roman"/>
      <w:color w:val="0000FF"/>
      <w:u w:val="single"/>
    </w:rPr>
  </w:style>
  <w:style w:type="paragraph" w:styleId="PlainText">
    <w:name w:val="Plain Text"/>
    <w:basedOn w:val="Normal"/>
    <w:link w:val="PlainTextChar"/>
    <w:uiPriority w:val="99"/>
    <w:qFormat/>
    <w:rPr>
      <w:rFonts w:ascii="Courier New" w:hAnsi="Courier New" w:cs="Courier New"/>
      <w:sz w:val="21"/>
      <w:szCs w:val="21"/>
    </w:rPr>
  </w:style>
  <w:style w:type="character" w:styleId="Strong">
    <w:name w:val="Strong"/>
    <w:uiPriority w:val="22"/>
    <w:qFormat/>
    <w:rPr>
      <w:rFonts w:ascii="Times New Roman" w:eastAsia="SimSun" w:hAnsi="Times New Roman" w:cs="Times New Roman"/>
      <w:b/>
      <w:bCs/>
    </w:rPr>
  </w:style>
  <w:style w:type="paragraph" w:styleId="Subtitle">
    <w:name w:val="Subtitle"/>
    <w:basedOn w:val="Normal"/>
    <w:next w:val="Normal"/>
    <w:link w:val="SubtitleChar"/>
    <w:uiPriority w:val="11"/>
    <w:qFormat/>
    <w:rPr>
      <w:rFonts w:ascii="Calibri Light" w:hAnsi="Calibri Light" w:cs="SimSun"/>
      <w:i/>
      <w:iCs/>
      <w:color w:val="4472C4"/>
      <w:spacing w:val="15"/>
      <w:sz w:val="24"/>
      <w:szCs w:val="24"/>
    </w:rPr>
  </w:style>
  <w:style w:type="table" w:styleId="TableGrid">
    <w:name w:val="Table Grid"/>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Pr>
      <w:rFonts w:ascii="Arial" w:eastAsia="Times New Roman" w:hAnsi="Arial"/>
      <w:sz w:val="48"/>
    </w:rPr>
  </w:style>
  <w:style w:type="paragraph" w:customStyle="1" w:styleId="Heading11">
    <w:name w:val="Heading 11"/>
    <w:basedOn w:val="Normal"/>
    <w:next w:val="Normal"/>
    <w:link w:val="Heading1Char4488dfcf-df04-4ec0-b411-790786871787"/>
    <w:qFormat/>
    <w:pPr>
      <w:keepNext/>
      <w:keepLines/>
      <w:numPr>
        <w:numId w:val="2"/>
      </w:numPr>
      <w:tabs>
        <w:tab w:val="left" w:pos="216"/>
      </w:tabs>
      <w:spacing w:before="160" w:after="80"/>
    </w:pPr>
    <w:rPr>
      <w:smallCaps/>
    </w:rPr>
  </w:style>
  <w:style w:type="paragraph" w:customStyle="1" w:styleId="Heading21">
    <w:name w:val="Heading 21"/>
    <w:basedOn w:val="Normal"/>
    <w:next w:val="Normal"/>
    <w:link w:val="Heading2Char427d7e2b-dd0b-49ca-8963-5fdd6904d19c"/>
    <w:qFormat/>
    <w:pPr>
      <w:keepNext/>
      <w:keepLines/>
      <w:numPr>
        <w:ilvl w:val="1"/>
        <w:numId w:val="2"/>
      </w:numPr>
      <w:spacing w:before="120" w:after="60"/>
      <w:jc w:val="left"/>
    </w:pPr>
    <w:rPr>
      <w:i/>
      <w:iCs/>
    </w:rPr>
  </w:style>
  <w:style w:type="paragraph" w:customStyle="1" w:styleId="Heading31">
    <w:name w:val="Heading 31"/>
    <w:basedOn w:val="Normal"/>
    <w:next w:val="Normal"/>
    <w:link w:val="Heading3Chare56a6597-2428-4981-a4af-12f945a4d545"/>
    <w:qFormat/>
    <w:pPr>
      <w:numPr>
        <w:ilvl w:val="2"/>
        <w:numId w:val="2"/>
      </w:numPr>
      <w:spacing w:line="240" w:lineRule="exact"/>
      <w:jc w:val="both"/>
    </w:pPr>
    <w:rPr>
      <w:i/>
      <w:iCs/>
    </w:rPr>
  </w:style>
  <w:style w:type="paragraph" w:customStyle="1" w:styleId="Heading41">
    <w:name w:val="Heading 41"/>
    <w:basedOn w:val="Normal"/>
    <w:next w:val="Normal"/>
    <w:link w:val="Heading4Char597c2fe5-f809-4a0c-99dd-ec3e3e74a191"/>
    <w:qFormat/>
    <w:pPr>
      <w:numPr>
        <w:ilvl w:val="3"/>
        <w:numId w:val="2"/>
      </w:numPr>
      <w:spacing w:before="40" w:after="40"/>
      <w:jc w:val="both"/>
    </w:pPr>
    <w:rPr>
      <w:i/>
      <w:iCs/>
    </w:rPr>
  </w:style>
  <w:style w:type="paragraph" w:customStyle="1" w:styleId="Heading51">
    <w:name w:val="Heading 51"/>
    <w:basedOn w:val="Normal"/>
    <w:next w:val="Normal"/>
    <w:link w:val="Heading5Char3e92201d-e2a7-4e59-8455-dfd25e7b71ba"/>
    <w:qFormat/>
    <w:pPr>
      <w:tabs>
        <w:tab w:val="left" w:pos="360"/>
      </w:tabs>
      <w:spacing w:before="160" w:after="80"/>
    </w:pPr>
    <w:rPr>
      <w:smallCaps/>
    </w:rPr>
  </w:style>
  <w:style w:type="character" w:customStyle="1" w:styleId="DefaultParagraphFont1">
    <w:name w:val="Default Paragraph Font1"/>
    <w:qFormat/>
    <w:rPr>
      <w:rFonts w:ascii="Times New Roman" w:eastAsia="SimSun" w:hAnsi="Times New Roman" w:cs="Times New Roman"/>
    </w:rPr>
  </w:style>
  <w:style w:type="table" w:customStyle="1" w:styleId="TableNormal1">
    <w:name w:val="Table Normal1"/>
    <w:qFormat/>
    <w:tblPr>
      <w:tblCellMar>
        <w:top w:w="0" w:type="dxa"/>
        <w:left w:w="108" w:type="dxa"/>
        <w:bottom w:w="0" w:type="dxa"/>
        <w:right w:w="108" w:type="dxa"/>
      </w:tblCellMar>
    </w:tblPr>
  </w:style>
  <w:style w:type="paragraph" w:customStyle="1" w:styleId="Footnote">
    <w:name w:val="Footnote"/>
    <w:qFormat/>
    <w:pPr>
      <w:numPr>
        <w:numId w:val="3"/>
      </w:numPr>
      <w:spacing w:after="40"/>
    </w:pPr>
    <w:rPr>
      <w:sz w:val="16"/>
      <w:szCs w:val="16"/>
    </w:rPr>
  </w:style>
  <w:style w:type="character" w:customStyle="1" w:styleId="BodyTextChar">
    <w:name w:val="Body Text Char"/>
    <w:link w:val="BodyText1"/>
    <w:uiPriority w:val="1"/>
    <w:qFormat/>
    <w:rPr>
      <w:rFonts w:ascii="Times New Roman" w:eastAsia="SimSun" w:hAnsi="Times New Roman" w:cs="Times New Roman"/>
      <w:spacing w:val="-1"/>
      <w:lang w:val="en-US" w:eastAsia="en-US"/>
    </w:rPr>
  </w:style>
  <w:style w:type="paragraph" w:customStyle="1" w:styleId="BodyText1">
    <w:name w:val="Body Text1"/>
    <w:basedOn w:val="Normal"/>
    <w:link w:val="BodyTextChar"/>
    <w:qFormat/>
    <w:pPr>
      <w:spacing w:line="360" w:lineRule="auto"/>
      <w:ind w:firstLine="289"/>
      <w:jc w:val="both"/>
    </w:pPr>
    <w:rPr>
      <w:spacing w:val="-1"/>
    </w:rPr>
  </w:style>
  <w:style w:type="paragraph" w:customStyle="1" w:styleId="Bulletlist">
    <w:name w:val="Bullet list"/>
    <w:basedOn w:val="BodyText1"/>
    <w:qFormat/>
    <w:pPr>
      <w:numPr>
        <w:numId w:val="4"/>
      </w:numPr>
      <w:tabs>
        <w:tab w:val="left" w:pos="648"/>
      </w:tabs>
      <w:ind w:left="357" w:hanging="357"/>
    </w:pPr>
  </w:style>
  <w:style w:type="paragraph" w:customStyle="1" w:styleId="References">
    <w:name w:val="References"/>
    <w:qFormat/>
    <w:pPr>
      <w:numPr>
        <w:numId w:val="5"/>
      </w:numPr>
      <w:spacing w:after="50" w:line="180" w:lineRule="exact"/>
      <w:jc w:val="both"/>
    </w:pPr>
    <w:rPr>
      <w:rFonts w:eastAsia="MS Mincho"/>
      <w:sz w:val="16"/>
      <w:szCs w:val="16"/>
    </w:rPr>
  </w:style>
  <w:style w:type="paragraph" w:customStyle="1" w:styleId="Figurecaption">
    <w:name w:val="Figure caption"/>
    <w:qFormat/>
    <w:pPr>
      <w:numPr>
        <w:numId w:val="6"/>
      </w:numPr>
      <w:spacing w:before="80" w:after="200"/>
      <w:jc w:val="center"/>
    </w:pPr>
    <w:rPr>
      <w:sz w:val="16"/>
      <w:szCs w:val="16"/>
    </w:rPr>
  </w:style>
  <w:style w:type="paragraph" w:customStyle="1" w:styleId="Tablehead">
    <w:name w:val="Table head"/>
    <w:qFormat/>
    <w:pPr>
      <w:numPr>
        <w:numId w:val="7"/>
      </w:numPr>
      <w:spacing w:before="240" w:after="120" w:line="216" w:lineRule="auto"/>
      <w:jc w:val="center"/>
    </w:pPr>
    <w:rPr>
      <w:smallCaps/>
      <w:sz w:val="16"/>
      <w:szCs w:val="16"/>
    </w:rPr>
  </w:style>
  <w:style w:type="character" w:customStyle="1" w:styleId="HeaderCharea4e9b7b-1344-49db-91ba-4bd773ab1bc7">
    <w:name w:val="Header Char_ea4e9b7b-1344-49db-91ba-4bd773ab1bc7"/>
    <w:link w:val="Header1"/>
    <w:qFormat/>
    <w:rPr>
      <w:rFonts w:ascii="Times New Roman" w:eastAsia="SimSun" w:hAnsi="Times New Roman" w:cs="Times New Roman"/>
      <w:lang w:val="en-US" w:eastAsia="en-US"/>
    </w:rPr>
  </w:style>
  <w:style w:type="paragraph" w:customStyle="1" w:styleId="Header1">
    <w:name w:val="Header1"/>
    <w:basedOn w:val="Normal"/>
    <w:link w:val="HeaderCharea4e9b7b-1344-49db-91ba-4bd773ab1bc7"/>
    <w:qFormat/>
    <w:pPr>
      <w:tabs>
        <w:tab w:val="center" w:pos="4513"/>
        <w:tab w:val="right" w:pos="9026"/>
      </w:tabs>
    </w:pPr>
  </w:style>
  <w:style w:type="character" w:customStyle="1" w:styleId="FooterChar3270b012-e049-470e-bacd-74ed2b36eb67">
    <w:name w:val="Footer Char_3270b012-e049-470e-bacd-74ed2b36eb67"/>
    <w:link w:val="Footer1"/>
    <w:qFormat/>
    <w:rPr>
      <w:rFonts w:ascii="Times New Roman" w:eastAsia="SimSun" w:hAnsi="Times New Roman" w:cs="Times New Roman"/>
      <w:lang w:val="en-US" w:eastAsia="en-US"/>
    </w:rPr>
  </w:style>
  <w:style w:type="paragraph" w:customStyle="1" w:styleId="Footer1">
    <w:name w:val="Footer1"/>
    <w:basedOn w:val="Normal"/>
    <w:link w:val="FooterChar3270b012-e049-470e-bacd-74ed2b36eb67"/>
    <w:qFormat/>
    <w:pPr>
      <w:tabs>
        <w:tab w:val="center" w:pos="4513"/>
        <w:tab w:val="right" w:pos="9026"/>
      </w:tabs>
    </w:pPr>
  </w:style>
  <w:style w:type="character" w:customStyle="1" w:styleId="FootnoteTextChar">
    <w:name w:val="Footnote Text Char"/>
    <w:link w:val="FootnoteText1"/>
    <w:uiPriority w:val="99"/>
    <w:qFormat/>
    <w:rPr>
      <w:rFonts w:ascii="Calibri" w:eastAsia="Times New Roman" w:hAnsi="Calibri" w:cs="Times New Roman"/>
      <w:lang w:eastAsia="en-US"/>
    </w:rPr>
  </w:style>
  <w:style w:type="paragraph" w:customStyle="1" w:styleId="FootnoteText1">
    <w:name w:val="Footnote Text1"/>
    <w:basedOn w:val="Normal"/>
    <w:link w:val="FootnoteTextChar"/>
    <w:qFormat/>
    <w:pPr>
      <w:jc w:val="left"/>
    </w:pPr>
    <w:rPr>
      <w:rFonts w:ascii="Calibri" w:eastAsia="Times New Roman" w:hAnsi="Calibri"/>
      <w:lang w:val="id-ID"/>
    </w:rPr>
  </w:style>
  <w:style w:type="character" w:customStyle="1" w:styleId="FootnoteReference1">
    <w:name w:val="Footnote Reference1"/>
    <w:qFormat/>
    <w:rPr>
      <w:rFonts w:ascii="Times New Roman" w:eastAsia="SimSun" w:hAnsi="Times New Roman" w:cs="Times New Roman"/>
      <w:vertAlign w:val="superscript"/>
    </w:rPr>
  </w:style>
  <w:style w:type="paragraph" w:customStyle="1" w:styleId="Papertitle">
    <w:name w:val="Paper title"/>
    <w:qFormat/>
    <w:pPr>
      <w:spacing w:after="120"/>
      <w:jc w:val="center"/>
    </w:pPr>
    <w:rPr>
      <w:rFonts w:eastAsia="MS Mincho"/>
      <w:sz w:val="48"/>
      <w:szCs w:val="48"/>
    </w:rPr>
  </w:style>
  <w:style w:type="paragraph" w:customStyle="1" w:styleId="Stylepapertitle14pt">
    <w:name w:val="Style paper title + 14 pt"/>
    <w:basedOn w:val="Papertitle"/>
    <w:qFormat/>
    <w:rPr>
      <w:rFonts w:eastAsia="SimSun"/>
      <w:sz w:val="24"/>
    </w:rPr>
  </w:style>
  <w:style w:type="paragraph" w:customStyle="1" w:styleId="Author">
    <w:name w:val="Author"/>
    <w:pPr>
      <w:spacing w:before="360" w:after="40"/>
      <w:jc w:val="center"/>
    </w:pPr>
    <w:rPr>
      <w:sz w:val="22"/>
      <w:szCs w:val="22"/>
    </w:rPr>
  </w:style>
  <w:style w:type="paragraph" w:customStyle="1" w:styleId="StyleAuthorBold">
    <w:name w:val="Style Author + Bold"/>
    <w:basedOn w:val="Author"/>
    <w:qFormat/>
    <w:pPr>
      <w:spacing w:before="240"/>
    </w:pPr>
    <w:rPr>
      <w:b/>
      <w:bCs/>
    </w:rPr>
  </w:style>
  <w:style w:type="paragraph" w:customStyle="1" w:styleId="Afiliasi">
    <w:name w:val="Afiliasi"/>
    <w:basedOn w:val="Author"/>
    <w:qFormat/>
    <w:pPr>
      <w:spacing w:before="40"/>
    </w:pPr>
    <w:rPr>
      <w:sz w:val="20"/>
      <w:szCs w:val="20"/>
      <w:lang w:val="id-ID"/>
    </w:rPr>
  </w:style>
  <w:style w:type="paragraph" w:customStyle="1" w:styleId="Abstrak">
    <w:name w:val="Abstrak"/>
    <w:basedOn w:val="BodyText1"/>
    <w:qFormat/>
    <w:pPr>
      <w:spacing w:line="240" w:lineRule="auto"/>
      <w:ind w:left="567" w:right="567" w:firstLine="0"/>
    </w:pPr>
    <w:rPr>
      <w:szCs w:val="24"/>
    </w:rPr>
  </w:style>
  <w:style w:type="paragraph" w:customStyle="1" w:styleId="Affiliation">
    <w:name w:val="Affiliation"/>
    <w:qFormat/>
    <w:pPr>
      <w:jc w:val="center"/>
    </w:pPr>
  </w:style>
  <w:style w:type="character" w:customStyle="1" w:styleId="ListParagraphChar">
    <w:name w:val="List Paragraph Char"/>
    <w:link w:val="ListParagraph1"/>
    <w:uiPriority w:val="34"/>
    <w:qFormat/>
    <w:rPr>
      <w:rFonts w:ascii="Calibri" w:eastAsia="Times New Roman" w:hAnsi="Calibri" w:cs="Times New Roman"/>
      <w:sz w:val="21"/>
      <w:szCs w:val="21"/>
      <w:lang w:eastAsia="en-US"/>
    </w:rPr>
  </w:style>
  <w:style w:type="paragraph" w:customStyle="1" w:styleId="ListParagraph1">
    <w:name w:val="List Paragraph1"/>
    <w:basedOn w:val="Normal"/>
    <w:link w:val="ListParagraphChar"/>
    <w:qFormat/>
    <w:pPr>
      <w:spacing w:after="200" w:line="288" w:lineRule="auto"/>
      <w:ind w:left="720"/>
      <w:jc w:val="left"/>
    </w:pPr>
    <w:rPr>
      <w:rFonts w:ascii="Calibri" w:eastAsia="Times New Roman" w:hAnsi="Calibri"/>
      <w:sz w:val="21"/>
      <w:szCs w:val="21"/>
      <w:lang w:val="id-ID"/>
    </w:rPr>
  </w:style>
  <w:style w:type="paragraph" w:customStyle="1" w:styleId="Abstract">
    <w:name w:val="Abstract"/>
    <w:link w:val="AbstractChar"/>
    <w:qFormat/>
    <w:pPr>
      <w:spacing w:after="200"/>
      <w:jc w:val="both"/>
    </w:pPr>
    <w:rPr>
      <w:b/>
      <w:bCs/>
      <w:sz w:val="18"/>
      <w:szCs w:val="18"/>
    </w:rPr>
  </w:style>
  <w:style w:type="character" w:customStyle="1" w:styleId="AbstractChar">
    <w:name w:val="Abstract Char"/>
    <w:link w:val="Abstract"/>
    <w:qFormat/>
    <w:rPr>
      <w:rFonts w:ascii="Times New Roman" w:eastAsia="SimSun" w:hAnsi="Times New Roman" w:cs="Times New Roman"/>
      <w:b/>
      <w:bCs/>
      <w:sz w:val="18"/>
      <w:szCs w:val="18"/>
      <w:lang w:val="en-US" w:eastAsia="en-US" w:bidi="ar-SA"/>
    </w:rPr>
  </w:style>
  <w:style w:type="paragraph" w:customStyle="1" w:styleId="Equation">
    <w:name w:val="Equation"/>
    <w:basedOn w:val="Normal"/>
    <w:qFormat/>
    <w:pPr>
      <w:tabs>
        <w:tab w:val="center" w:pos="2520"/>
        <w:tab w:val="right" w:pos="5040"/>
      </w:tabs>
      <w:spacing w:before="240" w:after="240" w:line="216" w:lineRule="auto"/>
    </w:pPr>
    <w:rPr>
      <w:rFonts w:ascii="Symbol" w:hAnsi="Symbol" w:cs="Symbol"/>
    </w:rPr>
  </w:style>
  <w:style w:type="paragraph" w:customStyle="1" w:styleId="Keywords">
    <w:name w:val="Key words"/>
    <w:qFormat/>
    <w:pPr>
      <w:spacing w:after="120"/>
      <w:ind w:firstLine="288"/>
      <w:jc w:val="both"/>
    </w:pPr>
    <w:rPr>
      <w:b/>
      <w:bCs/>
      <w:i/>
      <w:iCs/>
      <w:sz w:val="18"/>
      <w:szCs w:val="18"/>
    </w:rPr>
  </w:style>
  <w:style w:type="paragraph" w:customStyle="1" w:styleId="Papersubtitle">
    <w:name w:val="Paper subtitle"/>
    <w:qFormat/>
    <w:pPr>
      <w:spacing w:after="120"/>
      <w:jc w:val="center"/>
    </w:pPr>
    <w:rPr>
      <w:rFonts w:eastAsia="MS Mincho"/>
      <w:sz w:val="24"/>
      <w:szCs w:val="28"/>
    </w:rPr>
  </w:style>
  <w:style w:type="paragraph" w:customStyle="1" w:styleId="Sponsors">
    <w:name w:val="Sponsors"/>
    <w:qFormat/>
    <w:pPr>
      <w:pBdr>
        <w:top w:val="single" w:sz="4" w:space="2" w:color="auto"/>
      </w:pBdr>
      <w:ind w:firstLine="288"/>
    </w:pPr>
    <w:rPr>
      <w:sz w:val="16"/>
      <w:szCs w:val="16"/>
    </w:rPr>
  </w:style>
  <w:style w:type="paragraph" w:customStyle="1" w:styleId="Tablecolhead">
    <w:name w:val="Table col head"/>
    <w:basedOn w:val="Normal"/>
    <w:qFormat/>
    <w:rPr>
      <w:b/>
      <w:bCs/>
      <w:sz w:val="16"/>
      <w:szCs w:val="16"/>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sz w:val="16"/>
      <w:szCs w:val="16"/>
    </w:rPr>
  </w:style>
  <w:style w:type="paragraph" w:customStyle="1" w:styleId="Tablefootnote">
    <w:name w:val="Table footnote"/>
    <w:qFormat/>
    <w:pPr>
      <w:spacing w:before="60" w:after="30"/>
      <w:jc w:val="right"/>
    </w:pPr>
    <w:rPr>
      <w:sz w:val="12"/>
      <w:szCs w:val="12"/>
    </w:rPr>
  </w:style>
  <w:style w:type="paragraph" w:customStyle="1" w:styleId="StyleAbstractItalic">
    <w:name w:val="Style Abstract + Italic"/>
    <w:basedOn w:val="Abstract"/>
    <w:link w:val="StyleAbstractItalicChar"/>
    <w:qFormat/>
    <w:rPr>
      <w:rFonts w:eastAsia="MS Mincho"/>
      <w:i/>
      <w:iCs/>
    </w:rPr>
  </w:style>
  <w:style w:type="character" w:customStyle="1" w:styleId="StyleAbstractItalicChar">
    <w:name w:val="Style Abstract + Italic Char"/>
    <w:link w:val="StyleAbstractItalic"/>
    <w:qFormat/>
    <w:rPr>
      <w:rFonts w:ascii="Times New Roman" w:eastAsia="MS Mincho" w:hAnsi="Times New Roman" w:cs="Times New Roman"/>
      <w:b/>
      <w:bCs/>
      <w:i/>
      <w:iCs/>
      <w:sz w:val="18"/>
      <w:szCs w:val="18"/>
      <w:lang w:val="en-US" w:eastAsia="en-US" w:bidi="ar-SA"/>
    </w:rPr>
  </w:style>
  <w:style w:type="character" w:customStyle="1" w:styleId="Hps">
    <w:name w:val="Hps"/>
    <w:qFormat/>
    <w:rPr>
      <w:rFonts w:ascii="Times New Roman" w:eastAsia="SimSun" w:hAnsi="Times New Roman" w:cs="Times New Roman"/>
    </w:rPr>
  </w:style>
  <w:style w:type="character" w:customStyle="1" w:styleId="Apple-converted-space">
    <w:name w:val="Apple-converted-space"/>
    <w:qFormat/>
    <w:rPr>
      <w:rFonts w:ascii="Times New Roman" w:eastAsia="SimSun" w:hAnsi="Times New Roman" w:cs="Times New Roman"/>
    </w:rPr>
  </w:style>
  <w:style w:type="paragraph" w:customStyle="1" w:styleId="BodyTextIndent21">
    <w:name w:val="Body Text Indent 21"/>
    <w:basedOn w:val="Normal"/>
    <w:link w:val="BodyTextIndent2Char"/>
    <w:qFormat/>
    <w:pPr>
      <w:spacing w:after="120" w:line="480" w:lineRule="auto"/>
      <w:ind w:left="283"/>
    </w:pPr>
  </w:style>
  <w:style w:type="character" w:customStyle="1" w:styleId="BodyTextIndent2Char">
    <w:name w:val="Body Text Indent 2 Char"/>
    <w:link w:val="BodyTextIndent21"/>
    <w:qFormat/>
    <w:rPr>
      <w:rFonts w:ascii="Times New Roman" w:eastAsia="SimSun" w:hAnsi="Times New Roman" w:cs="Times New Roman"/>
      <w:lang w:val="en-US" w:eastAsia="en-US"/>
    </w:rPr>
  </w:style>
  <w:style w:type="character" w:customStyle="1" w:styleId="TitleChar">
    <w:name w:val="Title Char"/>
    <w:link w:val="Title"/>
    <w:qFormat/>
    <w:rPr>
      <w:rFonts w:ascii="Arial" w:eastAsia="Times New Roman" w:hAnsi="Arial" w:cs="Times New Roman"/>
      <w:sz w:val="48"/>
      <w:lang w:val="en-US" w:eastAsia="en-US"/>
    </w:rPr>
  </w:style>
  <w:style w:type="paragraph" w:customStyle="1" w:styleId="DaftarPustaka">
    <w:name w:val="Daftar Pustaka"/>
    <w:basedOn w:val="Title"/>
    <w:qFormat/>
    <w:pPr>
      <w:spacing w:before="120" w:after="120"/>
      <w:ind w:left="284" w:hanging="284"/>
      <w:jc w:val="both"/>
    </w:pPr>
    <w:rPr>
      <w:rFonts w:ascii="Times New Roman" w:eastAsia="SimSun" w:hAnsi="Times New Roman"/>
      <w:sz w:val="20"/>
      <w:szCs w:val="24"/>
    </w:rPr>
  </w:style>
  <w:style w:type="character" w:customStyle="1" w:styleId="SebutanYangBelumTerselesaikan1">
    <w:name w:val="Sebutan Yang Belum Terselesaikan1"/>
    <w:qFormat/>
    <w:rPr>
      <w:rFonts w:ascii="Times New Roman" w:eastAsia="SimSun" w:hAnsi="Times New Roman" w:cs="Times New Roman"/>
      <w:color w:val="605E5C"/>
      <w:shd w:val="clear" w:color="auto" w:fill="E1DFDD"/>
    </w:rPr>
  </w:style>
  <w:style w:type="paragraph" w:customStyle="1" w:styleId="NoSpacing1">
    <w:name w:val="No Spacing1"/>
    <w:qFormat/>
    <w:rPr>
      <w:rFonts w:ascii="Calibri" w:eastAsia="Times New Roman" w:hAnsi="Calibri"/>
      <w:sz w:val="21"/>
      <w:szCs w:val="21"/>
      <w:lang w:val="id-ID"/>
    </w:rPr>
  </w:style>
  <w:style w:type="paragraph" w:customStyle="1" w:styleId="TOC21">
    <w:name w:val="TOC 21"/>
    <w:basedOn w:val="Normal"/>
    <w:next w:val="Normal"/>
    <w:qFormat/>
    <w:pPr>
      <w:tabs>
        <w:tab w:val="left" w:pos="880"/>
        <w:tab w:val="right" w:leader="dot" w:pos="7927"/>
      </w:tabs>
      <w:ind w:left="210"/>
      <w:jc w:val="both"/>
    </w:pPr>
    <w:rPr>
      <w:rFonts w:ascii="Calibri" w:eastAsia="Times New Roman" w:hAnsi="Calibri"/>
      <w:sz w:val="21"/>
      <w:szCs w:val="21"/>
      <w:lang w:val="id-ID"/>
    </w:rPr>
  </w:style>
  <w:style w:type="paragraph" w:customStyle="1" w:styleId="Heading61">
    <w:name w:val="Heading 61"/>
    <w:basedOn w:val="Normal"/>
    <w:next w:val="Normal"/>
    <w:link w:val="Heading6Char6679cb78-a961-4454-9a3b-0c9d36f23847"/>
    <w:uiPriority w:val="9"/>
    <w:qFormat/>
    <w:pPr>
      <w:keepNext/>
      <w:keepLines/>
      <w:spacing w:before="200"/>
    </w:pPr>
    <w:rPr>
      <w:rFonts w:ascii="Calibri Light" w:hAnsi="Calibri Light" w:cs="SimSun"/>
      <w:i/>
      <w:iCs/>
      <w:color w:val="1F3763"/>
    </w:rPr>
  </w:style>
  <w:style w:type="paragraph" w:customStyle="1" w:styleId="Heading71">
    <w:name w:val="Heading 71"/>
    <w:basedOn w:val="Normal"/>
    <w:next w:val="Normal"/>
    <w:link w:val="Heading7Chara9a31887-e46b-4356-8beb-22fd3b6e1750"/>
    <w:uiPriority w:val="9"/>
    <w:qFormat/>
    <w:pPr>
      <w:keepNext/>
      <w:keepLines/>
      <w:spacing w:before="200"/>
    </w:pPr>
    <w:rPr>
      <w:rFonts w:ascii="Calibri Light" w:hAnsi="Calibri Light" w:cs="SimSun"/>
      <w:i/>
      <w:iCs/>
      <w:color w:val="404040"/>
    </w:rPr>
  </w:style>
  <w:style w:type="paragraph" w:customStyle="1" w:styleId="Heading81">
    <w:name w:val="Heading 81"/>
    <w:basedOn w:val="Normal"/>
    <w:next w:val="Normal"/>
    <w:link w:val="Heading8Char7d68c3de-ce30-4ec9-904d-9832c0da5e1d"/>
    <w:uiPriority w:val="9"/>
    <w:qFormat/>
    <w:pPr>
      <w:keepNext/>
      <w:keepLines/>
      <w:spacing w:before="200"/>
    </w:pPr>
    <w:rPr>
      <w:rFonts w:ascii="Calibri Light" w:hAnsi="Calibri Light" w:cs="SimSun"/>
      <w:color w:val="404040"/>
    </w:rPr>
  </w:style>
  <w:style w:type="paragraph" w:customStyle="1" w:styleId="Heading91">
    <w:name w:val="Heading 91"/>
    <w:basedOn w:val="Normal"/>
    <w:next w:val="Normal"/>
    <w:link w:val="Heading9Char26332773-89c7-4fb8-a831-58f383fea70c"/>
    <w:uiPriority w:val="9"/>
    <w:qFormat/>
    <w:pPr>
      <w:keepNext/>
      <w:keepLines/>
      <w:spacing w:before="200"/>
    </w:pPr>
    <w:rPr>
      <w:rFonts w:ascii="Calibri Light" w:hAnsi="Calibri Light" w:cs="SimSun"/>
      <w:i/>
      <w:iCs/>
      <w:color w:val="404040"/>
    </w:rPr>
  </w:style>
  <w:style w:type="character" w:customStyle="1" w:styleId="Heading1Char4488dfcf-df04-4ec0-b411-790786871787">
    <w:name w:val="Heading 1 Char_4488dfcf-df04-4ec0-b411-790786871787"/>
    <w:link w:val="Heading11"/>
    <w:uiPriority w:val="9"/>
    <w:qFormat/>
    <w:rPr>
      <w:rFonts w:ascii="Calibri Light" w:eastAsia="SimSun" w:hAnsi="Calibri Light" w:cs="SimSun"/>
      <w:b/>
      <w:bCs/>
      <w:color w:val="2F5395"/>
      <w:sz w:val="28"/>
      <w:szCs w:val="28"/>
    </w:rPr>
  </w:style>
  <w:style w:type="character" w:customStyle="1" w:styleId="Heading2Char427d7e2b-dd0b-49ca-8963-5fdd6904d19c">
    <w:name w:val="Heading 2 Char_427d7e2b-dd0b-49ca-8963-5fdd6904d19c"/>
    <w:link w:val="Heading21"/>
    <w:uiPriority w:val="9"/>
    <w:qFormat/>
    <w:rPr>
      <w:rFonts w:ascii="Calibri Light" w:eastAsia="SimSun" w:hAnsi="Calibri Light" w:cs="SimSun"/>
      <w:b/>
      <w:bCs/>
      <w:color w:val="4472C4"/>
      <w:sz w:val="26"/>
      <w:szCs w:val="26"/>
    </w:rPr>
  </w:style>
  <w:style w:type="character" w:customStyle="1" w:styleId="Heading3Chare56a6597-2428-4981-a4af-12f945a4d545">
    <w:name w:val="Heading 3 Char_e56a6597-2428-4981-a4af-12f945a4d545"/>
    <w:link w:val="Heading31"/>
    <w:uiPriority w:val="9"/>
    <w:qFormat/>
    <w:rPr>
      <w:rFonts w:ascii="Calibri Light" w:eastAsia="SimSun" w:hAnsi="Calibri Light" w:cs="SimSun"/>
      <w:b/>
      <w:bCs/>
      <w:color w:val="4472C4"/>
    </w:rPr>
  </w:style>
  <w:style w:type="character" w:customStyle="1" w:styleId="Heading4Char597c2fe5-f809-4a0c-99dd-ec3e3e74a191">
    <w:name w:val="Heading 4 Char_597c2fe5-f809-4a0c-99dd-ec3e3e74a191"/>
    <w:link w:val="Heading41"/>
    <w:uiPriority w:val="9"/>
    <w:qFormat/>
    <w:rPr>
      <w:rFonts w:ascii="Calibri Light" w:eastAsia="SimSun" w:hAnsi="Calibri Light" w:cs="SimSun"/>
      <w:b/>
      <w:bCs/>
      <w:i/>
      <w:iCs/>
      <w:color w:val="4472C4"/>
    </w:rPr>
  </w:style>
  <w:style w:type="character" w:customStyle="1" w:styleId="Heading5Char3e92201d-e2a7-4e59-8455-dfd25e7b71ba">
    <w:name w:val="Heading 5 Char_3e92201d-e2a7-4e59-8455-dfd25e7b71ba"/>
    <w:link w:val="Heading51"/>
    <w:uiPriority w:val="9"/>
    <w:qFormat/>
    <w:rPr>
      <w:rFonts w:ascii="Calibri Light" w:eastAsia="SimSun" w:hAnsi="Calibri Light" w:cs="SimSun"/>
      <w:color w:val="1F3763"/>
    </w:rPr>
  </w:style>
  <w:style w:type="character" w:customStyle="1" w:styleId="Heading6Char6679cb78-a961-4454-9a3b-0c9d36f23847">
    <w:name w:val="Heading 6 Char_6679cb78-a961-4454-9a3b-0c9d36f23847"/>
    <w:link w:val="Heading61"/>
    <w:uiPriority w:val="9"/>
    <w:qFormat/>
    <w:rPr>
      <w:rFonts w:ascii="Calibri Light" w:eastAsia="SimSun" w:hAnsi="Calibri Light" w:cs="SimSun"/>
      <w:i/>
      <w:iCs/>
      <w:color w:val="1F3763"/>
    </w:rPr>
  </w:style>
  <w:style w:type="character" w:customStyle="1" w:styleId="Heading7Chara9a31887-e46b-4356-8beb-22fd3b6e1750">
    <w:name w:val="Heading 7 Char_a9a31887-e46b-4356-8beb-22fd3b6e1750"/>
    <w:link w:val="Heading71"/>
    <w:uiPriority w:val="9"/>
    <w:qFormat/>
    <w:rPr>
      <w:rFonts w:ascii="Calibri Light" w:eastAsia="SimSun" w:hAnsi="Calibri Light" w:cs="SimSun"/>
      <w:i/>
      <w:iCs/>
      <w:color w:val="404040"/>
    </w:rPr>
  </w:style>
  <w:style w:type="character" w:customStyle="1" w:styleId="Heading8Char7d68c3de-ce30-4ec9-904d-9832c0da5e1d">
    <w:name w:val="Heading 8 Char_7d68c3de-ce30-4ec9-904d-9832c0da5e1d"/>
    <w:link w:val="Heading81"/>
    <w:uiPriority w:val="9"/>
    <w:qFormat/>
    <w:rPr>
      <w:rFonts w:ascii="Calibri Light" w:eastAsia="SimSun" w:hAnsi="Calibri Light" w:cs="SimSun"/>
      <w:color w:val="404040"/>
      <w:sz w:val="20"/>
      <w:szCs w:val="20"/>
    </w:rPr>
  </w:style>
  <w:style w:type="character" w:customStyle="1" w:styleId="Heading9Char26332773-89c7-4fb8-a831-58f383fea70c">
    <w:name w:val="Heading 9 Char_26332773-89c7-4fb8-a831-58f383fea70c"/>
    <w:link w:val="Heading91"/>
    <w:uiPriority w:val="9"/>
    <w:qFormat/>
    <w:rPr>
      <w:rFonts w:ascii="Calibri Light" w:eastAsia="SimSun" w:hAnsi="Calibri Light" w:cs="SimSun"/>
      <w:i/>
      <w:iCs/>
      <w:color w:val="404040"/>
      <w:sz w:val="20"/>
      <w:szCs w:val="20"/>
    </w:rPr>
  </w:style>
  <w:style w:type="character" w:customStyle="1" w:styleId="SubtitleChar">
    <w:name w:val="Subtitle Char"/>
    <w:link w:val="Subtitle"/>
    <w:uiPriority w:val="11"/>
    <w:qFormat/>
    <w:rPr>
      <w:rFonts w:ascii="Calibri Light" w:eastAsia="SimSun" w:hAnsi="Calibri Light" w:cs="SimSun"/>
      <w:i/>
      <w:iCs/>
      <w:color w:val="4472C4"/>
      <w:spacing w:val="15"/>
      <w:sz w:val="24"/>
      <w:szCs w:val="24"/>
    </w:rPr>
  </w:style>
  <w:style w:type="character" w:customStyle="1" w:styleId="SubtleEmphasis1">
    <w:name w:val="Subtle Emphasis1"/>
    <w:uiPriority w:val="19"/>
    <w:qFormat/>
    <w:rPr>
      <w:rFonts w:ascii="Times New Roman" w:eastAsia="SimSun" w:hAnsi="Times New Roman" w:cs="Times New Roman"/>
      <w:i/>
      <w:iCs/>
      <w:color w:val="808080"/>
    </w:rPr>
  </w:style>
  <w:style w:type="character" w:customStyle="1" w:styleId="IntenseEmphasis1">
    <w:name w:val="Intense Emphasis1"/>
    <w:uiPriority w:val="21"/>
    <w:qFormat/>
    <w:rPr>
      <w:rFonts w:ascii="Times New Roman" w:eastAsia="SimSun" w:hAnsi="Times New Roman" w:cs="Times New Roman"/>
      <w:b/>
      <w:bCs/>
      <w:i/>
      <w:iCs/>
      <w:color w:val="4472C4"/>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eastAsia="SimSun" w:hAnsi="Times New Roman" w:cs="Times New Roman"/>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qFormat/>
    <w:rPr>
      <w:rFonts w:ascii="Times New Roman" w:eastAsia="SimSun" w:hAnsi="Times New Roman" w:cs="Times New Roman"/>
      <w:b/>
      <w:bCs/>
      <w:i/>
      <w:iCs/>
      <w:color w:val="4472C4"/>
    </w:rPr>
  </w:style>
  <w:style w:type="character" w:customStyle="1" w:styleId="SubtleReference1">
    <w:name w:val="Subtle Reference1"/>
    <w:uiPriority w:val="31"/>
    <w:qFormat/>
    <w:rPr>
      <w:rFonts w:ascii="Times New Roman" w:eastAsia="SimSun" w:hAnsi="Times New Roman" w:cs="Times New Roman"/>
      <w:smallCaps/>
      <w:color w:val="ED7D31"/>
      <w:u w:val="single"/>
    </w:rPr>
  </w:style>
  <w:style w:type="character" w:customStyle="1" w:styleId="IntenseReference1">
    <w:name w:val="Intense Reference1"/>
    <w:uiPriority w:val="32"/>
    <w:qFormat/>
    <w:rPr>
      <w:rFonts w:ascii="Times New Roman" w:eastAsia="SimSun" w:hAnsi="Times New Roman" w:cs="Times New Roman"/>
      <w:b/>
      <w:bCs/>
      <w:smallCaps/>
      <w:color w:val="ED7D31"/>
      <w:spacing w:val="5"/>
      <w:u w:val="single"/>
    </w:rPr>
  </w:style>
  <w:style w:type="character" w:customStyle="1" w:styleId="BookTitle1">
    <w:name w:val="Book Title1"/>
    <w:uiPriority w:val="33"/>
    <w:qFormat/>
    <w:rPr>
      <w:rFonts w:ascii="Times New Roman" w:eastAsia="SimSun" w:hAnsi="Times New Roman" w:cs="Times New Roman"/>
      <w:b/>
      <w:bCs/>
      <w:smallCaps/>
      <w:spacing w:val="5"/>
    </w:rPr>
  </w:style>
  <w:style w:type="paragraph" w:customStyle="1" w:styleId="EndnoteText1">
    <w:name w:val="Endnote Text1"/>
    <w:basedOn w:val="Normal"/>
    <w:link w:val="EndnoteTextChar"/>
    <w:uiPriority w:val="99"/>
    <w:qFormat/>
  </w:style>
  <w:style w:type="character" w:customStyle="1" w:styleId="EndnoteTextChar">
    <w:name w:val="Endnote Text Char"/>
    <w:link w:val="EndnoteText1"/>
    <w:uiPriority w:val="99"/>
    <w:qFormat/>
    <w:rPr>
      <w:rFonts w:ascii="Times New Roman" w:eastAsia="SimSun" w:hAnsi="Times New Roman" w:cs="Times New Roman"/>
      <w:sz w:val="20"/>
      <w:szCs w:val="20"/>
    </w:rPr>
  </w:style>
  <w:style w:type="character" w:customStyle="1" w:styleId="EndnoteReference1">
    <w:name w:val="Endnote Reference1"/>
    <w:uiPriority w:val="99"/>
    <w:qFormat/>
    <w:rPr>
      <w:rFonts w:ascii="Times New Roman" w:eastAsia="SimSun" w:hAnsi="Times New Roman" w:cs="Times New Roman"/>
      <w:vertAlign w:val="superscript"/>
    </w:rPr>
  </w:style>
  <w:style w:type="character" w:customStyle="1" w:styleId="PlainTextChar">
    <w:name w:val="Plain Text Char"/>
    <w:link w:val="PlainText"/>
    <w:uiPriority w:val="99"/>
    <w:qFormat/>
    <w:rPr>
      <w:rFonts w:ascii="Courier New" w:eastAsia="SimSun" w:hAnsi="Courier New" w:cs="Courier New"/>
      <w:sz w:val="21"/>
      <w:szCs w:val="21"/>
    </w:rPr>
  </w:style>
  <w:style w:type="paragraph" w:customStyle="1" w:styleId="EnvelopeAddress1">
    <w:name w:val="Envelope Address1"/>
    <w:basedOn w:val="Normal"/>
    <w:uiPriority w:val="99"/>
    <w:qFormat/>
    <w:pPr>
      <w:ind w:left="2880"/>
    </w:pPr>
    <w:rPr>
      <w:rFonts w:ascii="Calibri Light" w:hAnsi="Calibri Light" w:cs="SimSun"/>
      <w:sz w:val="24"/>
    </w:rPr>
  </w:style>
  <w:style w:type="paragraph" w:customStyle="1" w:styleId="EnvelopeReturn1">
    <w:name w:val="Envelope Return1"/>
    <w:basedOn w:val="Normal"/>
    <w:uiPriority w:val="99"/>
    <w:qFormat/>
    <w:rPr>
      <w:rFonts w:ascii="Calibri Light" w:hAnsi="Calibri Light" w:cs="SimSun"/>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rPr>
      <w:b/>
      <w:bC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oterChar">
    <w:name w:val="Footer Char"/>
    <w:basedOn w:val="DefaultParagraphFont"/>
    <w:link w:val="Footer"/>
    <w:uiPriority w:val="99"/>
  </w:style>
  <w:style w:type="character" w:customStyle="1" w:styleId="FootnoteTextChar1">
    <w:name w:val="Footnote Text Char1"/>
    <w:basedOn w:val="DefaultParagraphFont"/>
    <w:link w:val="FootnoteText"/>
    <w:uiPriority w:val="99"/>
    <w:semiHidden/>
    <w:qFormat/>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link w:val="NoSpacing"/>
    <w:uiPriority w:val="1"/>
    <w:qFormat/>
    <w:locked/>
    <w:rPr>
      <w:rFonts w:ascii="Calibri" w:eastAsia="Times New Roman" w:hAnsi="Calibri"/>
      <w:sz w:val="22"/>
      <w:szCs w:val="22"/>
    </w:rPr>
  </w:style>
  <w:style w:type="paragraph" w:customStyle="1" w:styleId="Default">
    <w:name w:val="Default"/>
    <w:qFormat/>
    <w:pPr>
      <w:autoSpaceDE w:val="0"/>
      <w:autoSpaceDN w:val="0"/>
      <w:adjustRightInd w:val="0"/>
    </w:pPr>
    <w:rPr>
      <w:rFonts w:eastAsiaTheme="minorHAnsi"/>
      <w:color w:val="000000"/>
      <w:sz w:val="24"/>
      <w:szCs w:val="24"/>
      <w:lang w:val="id-ID"/>
    </w:rPr>
  </w:style>
  <w:style w:type="character" w:customStyle="1" w:styleId="BodyTextChar1">
    <w:name w:val="Body Text Char1"/>
    <w:basedOn w:val="DefaultParagraphFont"/>
    <w:link w:val="BodyText"/>
    <w:uiPriority w:val="99"/>
    <w:semiHidden/>
    <w:qFormat/>
  </w:style>
  <w:style w:type="character" w:customStyle="1" w:styleId="fontstyle01">
    <w:name w:val="fontstyle01"/>
    <w:basedOn w:val="DefaultParagraphFont"/>
    <w:qFormat/>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kbbi.web.id/rayu-2"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kbbi.web.id/paksa" TargetMode="External"/><Relationship Id="rId2" Type="http://schemas.openxmlformats.org/officeDocument/2006/relationships/customXml" Target="../customXml/item2.xml"/><Relationship Id="rId16" Type="http://schemas.openxmlformats.org/officeDocument/2006/relationships/hyperlink" Target="https://kbbi.web.id/ker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kbbi.web.id/bujuk" TargetMode="External"/><Relationship Id="rId10" Type="http://schemas.openxmlformats.org/officeDocument/2006/relationships/header" Target="header1.xml"/><Relationship Id="rId19" Type="http://schemas.openxmlformats.org/officeDocument/2006/relationships/hyperlink" Target="https://vivajusticia.law.ugm.ac.id/2018/11/29/pemikiran-pompe-mengenai-analogi-dalam-hukum-pidana/" TargetMode="External"/><Relationship Id="rId4" Type="http://schemas.openxmlformats.org/officeDocument/2006/relationships/styles" Target="styles.xml"/><Relationship Id="rId9" Type="http://schemas.openxmlformats.org/officeDocument/2006/relationships/hyperlink" Target="mailto:emmiliarusdiana@unesa.ac.id" TargetMode="External"/><Relationship Id="rId14" Type="http://schemas.openxmlformats.org/officeDocument/2006/relationships/hyperlink" Target="https://kbbi.web.id/anca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ABCF7-24F1-46D8-92F5-09A3DE60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13</Pages>
  <Words>12982</Words>
  <Characters>73998</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86807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ASUS</cp:lastModifiedBy>
  <cp:revision>2</cp:revision>
  <dcterms:created xsi:type="dcterms:W3CDTF">2020-08-18T04:21:00Z</dcterms:created>
  <dcterms:modified xsi:type="dcterms:W3CDTF">2021-07-04T00:40:00Z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d3f26e81-21e1-3c63-9d91-79f8d1305527</vt:lpwstr>
  </property>
  <property fmtid="{D5CDD505-2E9C-101B-9397-08002B2CF9AE}" pid="24" name="Mendeley Citation Style_1">
    <vt:lpwstr>http://www.zotero.org/styles/american-sociological-association</vt:lpwstr>
  </property>
  <property fmtid="{D5CDD505-2E9C-101B-9397-08002B2CF9AE}" pid="25" name="KSOProductBuildVer">
    <vt:lpwstr>1033-11.2.0.9984</vt:lpwstr>
  </property>
</Properties>
</file>