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84BC9" w14:textId="5252A363" w:rsidR="00BD7C66" w:rsidRPr="0062425D" w:rsidRDefault="00EE008C" w:rsidP="0062425D">
      <w:pPr>
        <w:pStyle w:val="Stylepapertitle14pt"/>
        <w:rPr>
          <w:b/>
          <w:sz w:val="22"/>
          <w:szCs w:val="22"/>
        </w:rPr>
      </w:pPr>
      <w:r w:rsidRPr="0062425D">
        <w:rPr>
          <w:b/>
          <w:sz w:val="22"/>
          <w:szCs w:val="22"/>
          <w:lang w:val="id-ID" w:eastAsia="id-ID"/>
        </w:rPr>
        <w:drawing>
          <wp:inline distT="0" distB="0" distL="0" distR="0" wp14:anchorId="47076638" wp14:editId="7089BF5E">
            <wp:extent cx="5709920" cy="1903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9920" cy="1903095"/>
                    </a:xfrm>
                    <a:prstGeom prst="rect">
                      <a:avLst/>
                    </a:prstGeom>
                    <a:noFill/>
                    <a:ln>
                      <a:noFill/>
                    </a:ln>
                  </pic:spPr>
                </pic:pic>
              </a:graphicData>
            </a:graphic>
          </wp:inline>
        </w:drawing>
      </w:r>
      <w:bookmarkStart w:id="0" w:name="_Hlk85794321"/>
    </w:p>
    <w:p w14:paraId="10300D5D" w14:textId="3B89838B" w:rsidR="00C22AAF" w:rsidRPr="0062425D" w:rsidRDefault="00C5423E" w:rsidP="0062425D">
      <w:pPr>
        <w:pStyle w:val="StyleAuthorBold"/>
        <w:rPr>
          <w:rFonts w:eastAsia="MS Mincho"/>
          <w:lang w:val="id-ID"/>
        </w:rPr>
      </w:pPr>
      <w:r w:rsidRPr="0062425D">
        <w:rPr>
          <w:rFonts w:eastAsia="MS Mincho"/>
          <w:lang w:val="id-ID"/>
        </w:rPr>
        <w:t>ANALISIS YURIDIS PUTUSAN MAHKAMAH AGUNG NOMOR 47 K/TUN/2020 MENGENAI TUMPANG TINDIH ANTARA IZIN USAHA PERTAMBANGAN (IUP) DENGAN HAK GUNA USAHA (HGU) PERKEBUNAN</w:t>
      </w:r>
    </w:p>
    <w:bookmarkEnd w:id="0"/>
    <w:p w14:paraId="6EBDC864" w14:textId="5365214A" w:rsidR="005B410A" w:rsidRPr="0062425D" w:rsidRDefault="00C22AAF" w:rsidP="0062425D">
      <w:pPr>
        <w:pStyle w:val="StyleAuthorBold"/>
      </w:pPr>
      <w:r w:rsidRPr="0062425D">
        <w:t>Althea Salza Nastiti</w:t>
      </w:r>
    </w:p>
    <w:p w14:paraId="01BD977F" w14:textId="77777777" w:rsidR="002A2DFD" w:rsidRPr="0062425D" w:rsidRDefault="00773E99" w:rsidP="0062425D">
      <w:pPr>
        <w:pStyle w:val="Afiliasi"/>
        <w:rPr>
          <w:lang w:val="en-US"/>
        </w:rPr>
      </w:pPr>
      <w:r w:rsidRPr="0062425D">
        <w:rPr>
          <w:lang w:val="en-US"/>
        </w:rPr>
        <w:t>S1</w:t>
      </w:r>
      <w:r w:rsidR="00053983" w:rsidRPr="0062425D">
        <w:t xml:space="preserve"> </w:t>
      </w:r>
      <w:r w:rsidR="007E52FF" w:rsidRPr="0062425D">
        <w:rPr>
          <w:lang w:val="en-US"/>
        </w:rPr>
        <w:t>Ilmu Hukum, Fakultas Ilmu Sosial dan Hukum, Universitas Negeri Surabaya</w:t>
      </w:r>
    </w:p>
    <w:p w14:paraId="61699DA7" w14:textId="09298D68" w:rsidR="00773E99" w:rsidRPr="0062425D" w:rsidRDefault="003D1090" w:rsidP="0062425D">
      <w:pPr>
        <w:pStyle w:val="Afiliasi"/>
      </w:pPr>
      <w:r w:rsidRPr="0062425D">
        <w:rPr>
          <w:lang w:val="en-US"/>
        </w:rPr>
        <w:t>Althea.180</w:t>
      </w:r>
      <w:r w:rsidR="004243DE" w:rsidRPr="0062425D">
        <w:rPr>
          <w:lang w:val="en-US"/>
        </w:rPr>
        <w:t>96</w:t>
      </w:r>
      <w:r w:rsidR="007B34ED" w:rsidRPr="0062425D">
        <w:rPr>
          <w:lang w:val="en-US"/>
        </w:rPr>
        <w:t>@mhs.unesa.ac.id</w:t>
      </w:r>
    </w:p>
    <w:p w14:paraId="2BD20A8E" w14:textId="2A45F74C" w:rsidR="00053983" w:rsidRPr="0062425D" w:rsidRDefault="003D1090" w:rsidP="0062425D">
      <w:pPr>
        <w:pStyle w:val="StyleAuthorBold"/>
      </w:pPr>
      <w:r w:rsidRPr="0062425D">
        <w:t>Tamsil Rahman</w:t>
      </w:r>
    </w:p>
    <w:p w14:paraId="33EBAFDF" w14:textId="77777777" w:rsidR="00773E99" w:rsidRPr="0062425D" w:rsidRDefault="00773E99" w:rsidP="0062425D">
      <w:pPr>
        <w:pStyle w:val="Afiliasi"/>
        <w:rPr>
          <w:lang w:val="en-US"/>
        </w:rPr>
      </w:pPr>
      <w:r w:rsidRPr="0062425D">
        <w:rPr>
          <w:lang w:val="en-US"/>
        </w:rPr>
        <w:t>S1</w:t>
      </w:r>
      <w:r w:rsidRPr="0062425D">
        <w:t xml:space="preserve"> </w:t>
      </w:r>
      <w:r w:rsidRPr="0062425D">
        <w:rPr>
          <w:lang w:val="en-US"/>
        </w:rPr>
        <w:t>Ilmu Hukum, Fakultas Ilmu Sosial dan Hukum, Universitas Negeri Surabaya</w:t>
      </w:r>
    </w:p>
    <w:p w14:paraId="73C6C005" w14:textId="4398F500" w:rsidR="00773E99" w:rsidRPr="0062425D" w:rsidRDefault="003D1090" w:rsidP="0062425D">
      <w:pPr>
        <w:pStyle w:val="Afiliasi"/>
        <w:rPr>
          <w:lang w:val="en-US"/>
        </w:rPr>
      </w:pPr>
      <w:r w:rsidRPr="0062425D">
        <w:rPr>
          <w:lang w:val="en-US"/>
        </w:rPr>
        <w:t>tamsil</w:t>
      </w:r>
      <w:r w:rsidR="00DD4B02" w:rsidRPr="0062425D">
        <w:rPr>
          <w:lang w:val="en-US"/>
        </w:rPr>
        <w:t>@unesa.ac.id</w:t>
      </w:r>
    </w:p>
    <w:p w14:paraId="2AC180FF" w14:textId="77777777" w:rsidR="005B410A" w:rsidRPr="0062425D" w:rsidRDefault="00053983" w:rsidP="0062425D">
      <w:pPr>
        <w:pStyle w:val="StyleAuthorBold"/>
        <w:rPr>
          <w:lang w:val="id-ID"/>
        </w:rPr>
      </w:pPr>
      <w:r w:rsidRPr="0062425D">
        <w:rPr>
          <w:lang w:val="id-ID"/>
        </w:rPr>
        <w:t>Abstrak</w:t>
      </w:r>
    </w:p>
    <w:p w14:paraId="5C7E6FCE" w14:textId="1564D915" w:rsidR="00DD4B02" w:rsidRPr="0062425D" w:rsidRDefault="009C2A99" w:rsidP="0062425D">
      <w:pPr>
        <w:pStyle w:val="abstrak"/>
      </w:pPr>
      <w:r w:rsidRPr="0062425D">
        <w:t xml:space="preserve">Sengketa yang terjadi antara </w:t>
      </w:r>
      <w:r w:rsidR="00BF6651" w:rsidRPr="0062425D">
        <w:t xml:space="preserve">PT. Brian Anjat Sentosa </w:t>
      </w:r>
      <w:r w:rsidR="004F652C" w:rsidRPr="0062425D">
        <w:t>melawan</w:t>
      </w:r>
      <w:r w:rsidR="00BF6651" w:rsidRPr="0062425D">
        <w:t xml:space="preserve"> PT. Sasana Yudha Bhakti</w:t>
      </w:r>
      <w:r w:rsidR="004F652C" w:rsidRPr="0062425D">
        <w:t xml:space="preserve"> </w:t>
      </w:r>
      <w:r w:rsidR="00B3341D" w:rsidRPr="0062425D">
        <w:rPr>
          <w:lang w:val="id-ID"/>
        </w:rPr>
        <w:t>merupakan</w:t>
      </w:r>
      <w:r w:rsidR="004F652C" w:rsidRPr="0062425D">
        <w:t xml:space="preserve"> bukti terjadinya </w:t>
      </w:r>
      <w:r w:rsidR="00B3341D" w:rsidRPr="0062425D">
        <w:rPr>
          <w:lang w:val="id-ID"/>
        </w:rPr>
        <w:t>tumpang</w:t>
      </w:r>
      <w:r w:rsidR="004F652C" w:rsidRPr="0062425D">
        <w:t xml:space="preserve"> tindih Hak Guna Usaha </w:t>
      </w:r>
      <w:r w:rsidR="00E81C4F" w:rsidRPr="0062425D">
        <w:t xml:space="preserve">(HGB) </w:t>
      </w:r>
      <w:r w:rsidR="004F652C" w:rsidRPr="0062425D">
        <w:t>dan Izin Usaha Pertambangan</w:t>
      </w:r>
      <w:r w:rsidR="00E81C4F" w:rsidRPr="0062425D">
        <w:t xml:space="preserve"> (IUP). SHGU No</w:t>
      </w:r>
      <w:r w:rsidR="00CD7C0D" w:rsidRPr="0062425D">
        <w:t xml:space="preserve">. 116 </w:t>
      </w:r>
      <w:r w:rsidR="00583976" w:rsidRPr="0062425D">
        <w:t xml:space="preserve">tertanggal </w:t>
      </w:r>
      <w:r w:rsidR="005409C5" w:rsidRPr="0062425D">
        <w:t xml:space="preserve">29 Oktober 2009 </w:t>
      </w:r>
      <w:r w:rsidR="00CD7C0D" w:rsidRPr="0062425D">
        <w:t xml:space="preserve">dan SHGU No. 147 </w:t>
      </w:r>
      <w:r w:rsidR="005409C5" w:rsidRPr="0062425D">
        <w:t xml:space="preserve">tertanggal 29 September 2010 </w:t>
      </w:r>
      <w:r w:rsidR="00CD7C0D" w:rsidRPr="0062425D">
        <w:t xml:space="preserve">milik PT. Sasana Yudha Bhakti </w:t>
      </w:r>
      <w:r w:rsidR="007C45A3" w:rsidRPr="0062425D">
        <w:t xml:space="preserve">diketahui merupakan wilayah yang sama dengan IUP Operasi Produksi </w:t>
      </w:r>
      <w:r w:rsidR="006522E6" w:rsidRPr="0062425D">
        <w:t xml:space="preserve">tertanggal 8 Mei 2018 </w:t>
      </w:r>
      <w:r w:rsidR="007C45A3" w:rsidRPr="0062425D">
        <w:t xml:space="preserve">milik PT. Brian Anjat Sentosa. </w:t>
      </w:r>
      <w:r w:rsidR="00E81C4F" w:rsidRPr="0062425D">
        <w:t xml:space="preserve"> </w:t>
      </w:r>
      <w:r w:rsidR="00A60B31" w:rsidRPr="0062425D">
        <w:t>Hingga perkara pada tingkat kasasi</w:t>
      </w:r>
      <w:r w:rsidR="007F4F20" w:rsidRPr="0062425D">
        <w:t xml:space="preserve"> pada Putusan No. 47</w:t>
      </w:r>
      <w:r w:rsidR="007F7288" w:rsidRPr="0062425D">
        <w:t xml:space="preserve"> K/TUN/2018</w:t>
      </w:r>
      <w:r w:rsidR="00A60B31" w:rsidRPr="0062425D">
        <w:t>, hakim m</w:t>
      </w:r>
      <w:r w:rsidR="00B749ED" w:rsidRPr="0062425D">
        <w:t>emutuskan yang pada intinya SHGU</w:t>
      </w:r>
      <w:r w:rsidR="00B3341D" w:rsidRPr="0062425D">
        <w:rPr>
          <w:lang w:val="id-ID"/>
        </w:rPr>
        <w:t xml:space="preserve"> No. 116</w:t>
      </w:r>
      <w:r w:rsidR="00B749ED" w:rsidRPr="0062425D">
        <w:t xml:space="preserve"> harus dibatalkan</w:t>
      </w:r>
      <w:r w:rsidR="006568BD" w:rsidRPr="0062425D">
        <w:t xml:space="preserve">, Pasal </w:t>
      </w:r>
      <w:r w:rsidR="00B857D8" w:rsidRPr="0062425D">
        <w:t>1</w:t>
      </w:r>
      <w:r w:rsidR="006568BD" w:rsidRPr="0062425D">
        <w:t>37 U</w:t>
      </w:r>
      <w:r w:rsidR="00B857D8" w:rsidRPr="0062425D">
        <w:t>ndang-Undang Nomor 4 Tahun 2009 tentang Pertambangan Mineral dan Batubara menyatakan jika IUP bukanlah merupakan bukti atau tanda kepimilikan hak atas tanah. Penelitian ini bertujuan memaham</w:t>
      </w:r>
      <w:r w:rsidR="00A41905" w:rsidRPr="0062425D">
        <w:t>i</w:t>
      </w:r>
      <w:r w:rsidR="007F7288" w:rsidRPr="0062425D">
        <w:t xml:space="preserve"> pertimbangan hakim </w:t>
      </w:r>
      <w:r w:rsidR="00DD519A" w:rsidRPr="0062425D">
        <w:t xml:space="preserve">dan akibat hukum </w:t>
      </w:r>
      <w:r w:rsidR="00ED16CC" w:rsidRPr="0062425D">
        <w:t xml:space="preserve">dari </w:t>
      </w:r>
      <w:r w:rsidR="00DD519A" w:rsidRPr="0062425D">
        <w:t>Putusan No. 47 K/TUN/2018</w:t>
      </w:r>
      <w:r w:rsidR="00ED16CC" w:rsidRPr="0062425D">
        <w:t>.</w:t>
      </w:r>
      <w:r w:rsidR="00A41905" w:rsidRPr="0062425D">
        <w:t xml:space="preserve"> </w:t>
      </w:r>
      <w:r w:rsidR="00ED16CC" w:rsidRPr="0062425D">
        <w:t xml:space="preserve">Penelitian </w:t>
      </w:r>
      <w:r w:rsidR="00932042" w:rsidRPr="0062425D">
        <w:t>ini termasuk dalam penelitian hukum normatif dengan menggunakan pendekatan perundang-undangan dan konseptual. Penelitian menggunakan bahan hukum primer dan sekunder</w:t>
      </w:r>
      <w:r w:rsidR="00D33386" w:rsidRPr="0062425D">
        <w:t>. Pengumpulan bahan hukum dilakukan melalui studi kepustakaan</w:t>
      </w:r>
      <w:r w:rsidR="009945FC" w:rsidRPr="0062425D">
        <w:t xml:space="preserve"> dengan metode analisis bahan hukum secara deskriptif</w:t>
      </w:r>
      <w:r w:rsidR="0060179E" w:rsidRPr="0062425D">
        <w:t xml:space="preserve"> preskritif</w:t>
      </w:r>
      <w:r w:rsidR="009945FC" w:rsidRPr="0062425D">
        <w:t xml:space="preserve">. Hasil penelitian </w:t>
      </w:r>
      <w:r w:rsidR="001B34B9" w:rsidRPr="0062425D">
        <w:t xml:space="preserve">adalah diketahui pertimbangan hakim yang seharusnya </w:t>
      </w:r>
      <w:r w:rsidR="001E5590" w:rsidRPr="0062425D">
        <w:t xml:space="preserve">diberikan berdasarkan </w:t>
      </w:r>
      <w:r w:rsidR="009A1D65" w:rsidRPr="0062425D">
        <w:t xml:space="preserve">berdasarkan peristiwa hukum dan peraturan perundang-undangan yang </w:t>
      </w:r>
      <w:r w:rsidR="00BF78A3" w:rsidRPr="0062425D">
        <w:t>berlaku</w:t>
      </w:r>
      <w:r w:rsidR="001E5590" w:rsidRPr="0062425D">
        <w:t>.</w:t>
      </w:r>
    </w:p>
    <w:p w14:paraId="79942260" w14:textId="345E95E2" w:rsidR="00C6538F" w:rsidRPr="0062425D" w:rsidRDefault="00C6538F" w:rsidP="0062425D">
      <w:pPr>
        <w:pStyle w:val="abstrak"/>
        <w:rPr>
          <w:lang w:val="id-ID"/>
        </w:rPr>
      </w:pPr>
      <w:r w:rsidRPr="0062425D">
        <w:rPr>
          <w:b/>
          <w:lang w:val="id-ID"/>
        </w:rPr>
        <w:t>Kata Kunci:</w:t>
      </w:r>
      <w:r w:rsidR="00DD4B02" w:rsidRPr="0062425D">
        <w:rPr>
          <w:b/>
        </w:rPr>
        <w:t xml:space="preserve"> </w:t>
      </w:r>
      <w:r w:rsidR="007D4974" w:rsidRPr="0062425D">
        <w:rPr>
          <w:bCs/>
        </w:rPr>
        <w:t>tump</w:t>
      </w:r>
      <w:r w:rsidR="007D4974" w:rsidRPr="0062425D">
        <w:rPr>
          <w:bCs/>
          <w:lang w:val="id-ID"/>
        </w:rPr>
        <w:t>a</w:t>
      </w:r>
      <w:r w:rsidR="001E5590" w:rsidRPr="0062425D">
        <w:rPr>
          <w:bCs/>
        </w:rPr>
        <w:t xml:space="preserve">ng tindih, </w:t>
      </w:r>
      <w:r w:rsidR="00D1161D" w:rsidRPr="0062425D">
        <w:rPr>
          <w:bCs/>
          <w:lang w:val="id-ID"/>
        </w:rPr>
        <w:t>IUP</w:t>
      </w:r>
      <w:r w:rsidR="001E5590" w:rsidRPr="0062425D">
        <w:rPr>
          <w:bCs/>
        </w:rPr>
        <w:t xml:space="preserve">, </w:t>
      </w:r>
      <w:r w:rsidR="00D1161D" w:rsidRPr="0062425D">
        <w:rPr>
          <w:bCs/>
          <w:lang w:val="id-ID"/>
        </w:rPr>
        <w:t>HGU</w:t>
      </w:r>
    </w:p>
    <w:p w14:paraId="0FE9CBE9" w14:textId="77777777" w:rsidR="00DC503F" w:rsidRPr="0062425D" w:rsidRDefault="00DC503F" w:rsidP="0062425D">
      <w:pPr>
        <w:pStyle w:val="abstrak"/>
      </w:pPr>
    </w:p>
    <w:p w14:paraId="341AC5A7" w14:textId="174054F5" w:rsidR="00C6538F" w:rsidRPr="0062425D" w:rsidRDefault="00C6538F" w:rsidP="0062425D">
      <w:pPr>
        <w:pStyle w:val="abstrak"/>
        <w:jc w:val="center"/>
        <w:rPr>
          <w:b/>
          <w:bCs/>
          <w:sz w:val="22"/>
          <w:szCs w:val="22"/>
          <w:lang w:val="id-ID"/>
        </w:rPr>
      </w:pPr>
      <w:r w:rsidRPr="0062425D">
        <w:rPr>
          <w:b/>
          <w:bCs/>
          <w:sz w:val="22"/>
          <w:szCs w:val="22"/>
          <w:lang w:val="id-ID"/>
        </w:rPr>
        <w:t>Abstract</w:t>
      </w:r>
    </w:p>
    <w:p w14:paraId="0DE832EC" w14:textId="4A094811" w:rsidR="00D03447" w:rsidRPr="0062425D" w:rsidRDefault="00D03447" w:rsidP="0062425D">
      <w:pPr>
        <w:pStyle w:val="abstrak"/>
      </w:pPr>
      <w:r w:rsidRPr="0062425D">
        <w:t xml:space="preserve">The dispute between PT. Brian Anjat Sentosa against PT. Sasana Yudha Bhakti is evidence of overlapping </w:t>
      </w:r>
      <w:r w:rsidR="00D3494A" w:rsidRPr="0062425D">
        <w:t>Cultivation Rights Title</w:t>
      </w:r>
      <w:r w:rsidRPr="0062425D">
        <w:t xml:space="preserve"> (HGB) and Mining Business </w:t>
      </w:r>
      <w:r w:rsidR="00A75512" w:rsidRPr="0062425D">
        <w:t>Lic</w:t>
      </w:r>
      <w:r w:rsidR="00862321" w:rsidRPr="0062425D">
        <w:t>enses</w:t>
      </w:r>
      <w:r w:rsidRPr="0062425D">
        <w:t xml:space="preserve"> (IUP). SHGU No. 116 dated October 29, 2009 and SHGU No. 147 dated September 29, 2010 owned by PT. Sasana Yudha Bhakti is known to be the same area as the Production Operation IUP dated 8 May 2018 belonging to PT. Brian Anjat Sentosa. Until the case at the level of cassation in Decision No. 47 K/TUN/2018, the judge decided that in essence the two SHGUs must be cancelled, Article 137 of Law Number 4 of 2009 concerning Mineral and Coal Mining states that IUP is not evidence or a sign of ownership of land rights. This study aims to understand the judge's considerations and the legal consequences of Decision No. 47 K/TUN/2018. This research is included in normative legal research using a statutory and conceptual approach. The research uses primary and secondary legal materials. The collection of legal materials is carried out through a literature study with a descriptive analysis method of legal materials. The result of the research is that it is known that the judge's consideration should be given based on legal events and applicable laws and regulations.</w:t>
      </w:r>
    </w:p>
    <w:p w14:paraId="3DA9C4A2" w14:textId="07E4B7B1" w:rsidR="00C6538F" w:rsidRPr="0062425D" w:rsidRDefault="00A7320D" w:rsidP="0062425D">
      <w:pPr>
        <w:pStyle w:val="abstrak"/>
        <w:rPr>
          <w:lang w:val="id-ID"/>
        </w:rPr>
      </w:pPr>
      <w:r w:rsidRPr="0062425D">
        <w:rPr>
          <w:b/>
        </w:rPr>
        <w:t>Keywords:</w:t>
      </w:r>
      <w:r w:rsidR="009D10DB" w:rsidRPr="0062425D">
        <w:t xml:space="preserve"> </w:t>
      </w:r>
      <w:r w:rsidR="00D03447" w:rsidRPr="0062425D">
        <w:t>overlapping</w:t>
      </w:r>
      <w:r w:rsidR="00862321" w:rsidRPr="0062425D">
        <w:t xml:space="preserve">, </w:t>
      </w:r>
      <w:r w:rsidR="00D1161D" w:rsidRPr="0062425D">
        <w:rPr>
          <w:lang w:val="id-ID"/>
        </w:rPr>
        <w:t>IUP, HGU</w:t>
      </w:r>
      <w:r w:rsidR="00C5423E" w:rsidRPr="0062425D">
        <w:rPr>
          <w:lang w:val="id-ID"/>
        </w:rPr>
        <w:t>.</w:t>
      </w:r>
    </w:p>
    <w:p w14:paraId="20F78E90" w14:textId="77777777" w:rsidR="00C5423E" w:rsidRPr="0062425D" w:rsidRDefault="00C5423E" w:rsidP="0062425D">
      <w:pPr>
        <w:pStyle w:val="abstrak"/>
        <w:rPr>
          <w:lang w:val="id-ID"/>
        </w:rPr>
        <w:sectPr w:rsidR="00C5423E" w:rsidRPr="0062425D" w:rsidSect="008157C4">
          <w:headerReference w:type="even" r:id="rId9"/>
          <w:headerReference w:type="default" r:id="rId10"/>
          <w:footerReference w:type="even" r:id="rId11"/>
          <w:footerReference w:type="default" r:id="rId12"/>
          <w:pgSz w:w="11909" w:h="16834" w:code="9"/>
          <w:pgMar w:top="1440" w:right="1440" w:bottom="1440" w:left="1440" w:header="720" w:footer="720" w:gutter="0"/>
          <w:cols w:space="720"/>
          <w:docGrid w:linePitch="360"/>
        </w:sectPr>
      </w:pPr>
    </w:p>
    <w:p w14:paraId="6A437F3D" w14:textId="77777777" w:rsidR="00ED13D6" w:rsidRPr="0062425D" w:rsidRDefault="003904DD" w:rsidP="0062425D">
      <w:pPr>
        <w:pStyle w:val="Heading1"/>
        <w:numPr>
          <w:ilvl w:val="0"/>
          <w:numId w:val="0"/>
        </w:numPr>
        <w:jc w:val="both"/>
        <w:rPr>
          <w:b/>
          <w:lang w:val="id-ID"/>
        </w:rPr>
      </w:pPr>
      <w:r w:rsidRPr="0062425D">
        <w:rPr>
          <w:b/>
          <w:lang w:val="id-ID"/>
        </w:rPr>
        <w:lastRenderedPageBreak/>
        <w:t>PENDAHULUAN</w:t>
      </w:r>
      <w:r w:rsidR="00A7320D" w:rsidRPr="0062425D">
        <w:rPr>
          <w:b/>
          <w:lang w:val="id-ID"/>
        </w:rPr>
        <w:t xml:space="preserve"> </w:t>
      </w:r>
    </w:p>
    <w:p w14:paraId="1AB6BFD2" w14:textId="58681B17" w:rsidR="003F7DC9" w:rsidRPr="0062425D" w:rsidRDefault="003F7DC9" w:rsidP="0062425D">
      <w:pPr>
        <w:pStyle w:val="BodyText"/>
        <w:spacing w:before="78" w:line="276" w:lineRule="auto"/>
        <w:ind w:left="113" w:right="40" w:firstLine="566"/>
      </w:pPr>
      <w:r w:rsidRPr="0062425D">
        <w:t xml:space="preserve">Besarnya cadangan batubara di Indonesia mencapai 38,84 miliar ton (Kementerian Energi </w:t>
      </w:r>
      <w:r w:rsidRPr="0062425D">
        <w:rPr>
          <w:spacing w:val="-3"/>
        </w:rPr>
        <w:t xml:space="preserve">dan Sumber Daya </w:t>
      </w:r>
      <w:r w:rsidRPr="0062425D">
        <w:t xml:space="preserve">Mineral 2021). Diperkirakan Kalimantan menduduki peringkat pertama yang menyimpang cadangan batubara terbanyak di Indonesia sebesar 62,1% dari total potensi cadangan </w:t>
      </w:r>
      <w:r w:rsidRPr="0062425D">
        <w:rPr>
          <w:spacing w:val="-3"/>
        </w:rPr>
        <w:t xml:space="preserve">dan sumber daya </w:t>
      </w:r>
      <w:r w:rsidRPr="0062425D">
        <w:t>batubara di Indonesia</w:t>
      </w:r>
      <w:r w:rsidR="00D1161D" w:rsidRPr="0062425D">
        <w:rPr>
          <w:lang w:val="id-ID"/>
        </w:rPr>
        <w:t xml:space="preserve"> </w:t>
      </w:r>
      <w:r w:rsidR="00D1161D" w:rsidRPr="0062425D">
        <w:rPr>
          <w:lang w:val="id-ID"/>
        </w:rPr>
        <w:fldChar w:fldCharType="begin" w:fldLock="1"/>
      </w:r>
      <w:r w:rsidR="002468B6" w:rsidRPr="0062425D">
        <w:rPr>
          <w:lang w:val="id-ID"/>
        </w:rPr>
        <w:instrText>ADDIN CSL_CITATION {"citationItems":[{"id":"ITEM-1","itemData":{"URL":"https://www.detik.com/edu/detikpedia/d-5690757/apa-pulau-dengan-potensi-cadangan-batubara-terbesar-di-indonesia#:~:text=Pulau Kalimantan menyimpan cadangan sebesar,di angka 558 juta ton.","accessed":{"date-parts":[["2022","2","20"]]},"author":[{"dropping-particle":"","family":"Kristina","given":"","non-dropping-particle":"","parse-names":false,"suffix":""}],"id":"ITEM-1","issued":{"date-parts":[["2021"]]},"title":"Apa Pulau dengan Potensi Cadangan Batubara Terbesar di Indonesia","type":"webpage"},"uris":["http://www.mendeley.com/documents/?uuid=6feeb4db-c135-4892-996a-3e15d63cf1cd"]}],"mendeley":{"formattedCitation":"(Kristina 2021)","plainTextFormattedCitation":"(Kristina 2021)","previouslyFormattedCitation":"(Kristina 2021)"},"properties":{"noteIndex":0},"schema":"https://github.com/citation-style-language/schema/raw/master/csl-citation.json"}</w:instrText>
      </w:r>
      <w:r w:rsidR="00D1161D" w:rsidRPr="0062425D">
        <w:rPr>
          <w:lang w:val="id-ID"/>
        </w:rPr>
        <w:fldChar w:fldCharType="separate"/>
      </w:r>
      <w:r w:rsidR="00D1161D" w:rsidRPr="0062425D">
        <w:rPr>
          <w:noProof/>
          <w:lang w:val="id-ID"/>
        </w:rPr>
        <w:t>(Kristina 2021)</w:t>
      </w:r>
      <w:r w:rsidR="00D1161D" w:rsidRPr="0062425D">
        <w:rPr>
          <w:lang w:val="id-ID"/>
        </w:rPr>
        <w:fldChar w:fldCharType="end"/>
      </w:r>
      <w:r w:rsidRPr="0062425D">
        <w:t xml:space="preserve">. Pertambangan batubara sebagai </w:t>
      </w:r>
      <w:r w:rsidRPr="0062425D">
        <w:rPr>
          <w:spacing w:val="-3"/>
        </w:rPr>
        <w:t xml:space="preserve">salah </w:t>
      </w:r>
      <w:r w:rsidRPr="0062425D">
        <w:t>satu industri yang mendunia dan menjanjikan, membuat industri ini memegang peranan penting dalam perekonomian negara, sebab industri ini mendatangkan devisa terbesar bagi Indonesia bahkan membuka peluang berinvestasi. Tidak heran jika masyarakat Indonesia berlomba-lomba untuk memanfaatkan kekayaan alam batubara di Indonesia. Namun</w:t>
      </w:r>
      <w:r w:rsidR="0007226F" w:rsidRPr="0062425D">
        <w:rPr>
          <w:lang w:val="id-ID"/>
        </w:rPr>
        <w:t>,</w:t>
      </w:r>
      <w:r w:rsidRPr="0062425D">
        <w:t xml:space="preserve"> besarnya jumlah potensi cadangan batubara serta melonjaknya keinginan masyarakat Indonesia untuk memanfaatkan kekayaan alam batubara tentu tidak menutup kemungkinan </w:t>
      </w:r>
      <w:r w:rsidRPr="0062425D">
        <w:rPr>
          <w:spacing w:val="-3"/>
        </w:rPr>
        <w:t xml:space="preserve">banyak </w:t>
      </w:r>
      <w:r w:rsidRPr="0062425D">
        <w:t>permasalahan yang akan</w:t>
      </w:r>
      <w:r w:rsidRPr="0062425D">
        <w:rPr>
          <w:spacing w:val="3"/>
        </w:rPr>
        <w:t xml:space="preserve"> </w:t>
      </w:r>
      <w:r w:rsidRPr="0062425D">
        <w:t>terjadi.</w:t>
      </w:r>
    </w:p>
    <w:p w14:paraId="6ABC5323" w14:textId="77777777" w:rsidR="00984A04" w:rsidRPr="0062425D" w:rsidRDefault="00984A04" w:rsidP="0062425D">
      <w:pPr>
        <w:pBdr>
          <w:top w:val="nil"/>
          <w:left w:val="nil"/>
          <w:bottom w:val="nil"/>
          <w:right w:val="nil"/>
          <w:between w:val="nil"/>
        </w:pBdr>
        <w:spacing w:line="276" w:lineRule="auto"/>
        <w:ind w:firstLine="567"/>
        <w:jc w:val="both"/>
        <w:rPr>
          <w:rFonts w:eastAsia="Times New Roman"/>
        </w:rPr>
      </w:pPr>
      <w:r w:rsidRPr="0062425D">
        <w:rPr>
          <w:rFonts w:eastAsia="Times New Roman"/>
        </w:rPr>
        <w:t xml:space="preserve">Permasalahan dalam bidang pertambangan melekat dengan permasalahan agraria </w:t>
      </w:r>
      <w:r w:rsidRPr="0062425D">
        <w:rPr>
          <w:rFonts w:eastAsia="Times New Roman"/>
        </w:rPr>
        <w:fldChar w:fldCharType="begin" w:fldLock="1"/>
      </w:r>
      <w:r w:rsidRPr="0062425D">
        <w:rPr>
          <w:rFonts w:eastAsia="Times New Roman"/>
        </w:rPr>
        <w:instrText>ADDIN CSL_CITATION {"citationItems":[{"id":"ITEM-1","itemData":{"author":[{"dropping-particle":"","family":"Ismi","given":"Hayatul","non-dropping-particle":"","parse-names":false,"suffix":""}],"container-title":"Jurnal Ilmu Hukum","id":"ITEM-1","issued":{"date-parts":[["2014"]]},"title":"Hak atas Tanah dalam Pengelolaan Sumber Daya Alam Mineral dan Batubara","type":"article-journal","volume":"2"},"uris":["http://www.mendeley.com/documents/?uuid=30aa01a9-fb0e-486b-a055-050ff1594e08"]}],"mendeley":{"formattedCitation":"(Ismi 2014)","plainTextFormattedCitation":"(Ismi 2014)","previouslyFormattedCitation":"(Ismi 2014)"},"properties":{"noteIndex":0},"schema":"https://github.com/citation-style-language/schema/raw/master/csl-citation.json"}</w:instrText>
      </w:r>
      <w:r w:rsidRPr="0062425D">
        <w:rPr>
          <w:rFonts w:eastAsia="Times New Roman"/>
        </w:rPr>
        <w:fldChar w:fldCharType="separate"/>
      </w:r>
      <w:r w:rsidRPr="0062425D">
        <w:rPr>
          <w:rFonts w:eastAsia="Times New Roman"/>
          <w:noProof/>
        </w:rPr>
        <w:t>(Ismi 2014)</w:t>
      </w:r>
      <w:r w:rsidRPr="0062425D">
        <w:rPr>
          <w:rFonts w:eastAsia="Times New Roman"/>
        </w:rPr>
        <w:fldChar w:fldCharType="end"/>
      </w:r>
      <w:r w:rsidRPr="0062425D">
        <w:rPr>
          <w:rFonts w:eastAsia="Times New Roman"/>
        </w:rPr>
        <w:t>. Pelaksanaan kegiatan pertambangan memakan waktu bertahun-tahun, sehingga dalam implementasinya banyak peraturan perundang-undangan mengenai kegiatan pertambangan yang telah diganti atau dicabut dengan peraturan perundang-undangan baru, sehingga sangat diperlukan adanya sinkronisasi antara peraturan perundangan-undangan terdahulu dengan peraturan perundang-undangan terbaru. Selain itu kegiatan pertambangan juga sering terjadi permasalahan mengenai tumpang tindih pemanfaatan tanah. Kegiatan pertambangan dilakukan di dalam perut bumi, sedangkan di permukaan bumi dapat dimanfaatkan untuk kegiatan sektor lainnya, sehingga juga diperlukan adanya sinkronisasi serta harmonisasi antara peraturan perundangan-undangan pertambangan dengan peraturan perundang-undanganya sektor lainnya.</w:t>
      </w:r>
    </w:p>
    <w:p w14:paraId="485B0D98" w14:textId="1D4B2710" w:rsidR="0007226F" w:rsidRPr="0062425D" w:rsidRDefault="00984A04" w:rsidP="0062425D">
      <w:pPr>
        <w:pBdr>
          <w:top w:val="nil"/>
          <w:left w:val="nil"/>
          <w:bottom w:val="nil"/>
          <w:right w:val="nil"/>
          <w:between w:val="nil"/>
        </w:pBdr>
        <w:spacing w:line="276" w:lineRule="auto"/>
        <w:ind w:firstLine="567"/>
        <w:jc w:val="both"/>
        <w:rPr>
          <w:rFonts w:eastAsia="Times New Roman"/>
        </w:rPr>
      </w:pPr>
      <w:r w:rsidRPr="0062425D">
        <w:rPr>
          <w:rFonts w:eastAsia="Times New Roman"/>
        </w:rPr>
        <w:t xml:space="preserve">Memperhatikan kegiatan pertambangan erat kaitannya dengan masalah izin usaha pertambangan </w:t>
      </w:r>
      <w:r w:rsidR="003F7DC9" w:rsidRPr="0062425D">
        <w:rPr>
          <w:rFonts w:eastAsia="Times New Roman"/>
          <w:lang w:val="id-ID"/>
        </w:rPr>
        <w:t xml:space="preserve">(IUP) </w:t>
      </w:r>
      <w:r w:rsidRPr="0062425D">
        <w:rPr>
          <w:rFonts w:eastAsia="Times New Roman"/>
        </w:rPr>
        <w:t>sebab akan berkutat dalam hal penguasaan hak atas tanah</w:t>
      </w:r>
      <w:r w:rsidR="003F7DC9" w:rsidRPr="0062425D">
        <w:rPr>
          <w:rFonts w:eastAsia="Times New Roman"/>
          <w:lang w:val="id-ID"/>
        </w:rPr>
        <w:t xml:space="preserve"> (HAT)</w:t>
      </w:r>
      <w:r w:rsidRPr="0062425D">
        <w:rPr>
          <w:rFonts w:eastAsia="Times New Roman"/>
        </w:rPr>
        <w:t>. Sehingga hubungan a</w:t>
      </w:r>
      <w:r w:rsidR="003F7DC9" w:rsidRPr="0062425D">
        <w:rPr>
          <w:rFonts w:eastAsia="Times New Roman"/>
        </w:rPr>
        <w:t xml:space="preserve">ntara </w:t>
      </w:r>
      <w:r w:rsidR="003F7DC9" w:rsidRPr="0062425D">
        <w:rPr>
          <w:rFonts w:eastAsia="Times New Roman"/>
          <w:lang w:val="id-ID"/>
        </w:rPr>
        <w:t xml:space="preserve">IUP </w:t>
      </w:r>
      <w:r w:rsidRPr="0062425D">
        <w:rPr>
          <w:rFonts w:eastAsia="Times New Roman"/>
        </w:rPr>
        <w:t xml:space="preserve">dengan </w:t>
      </w:r>
      <w:r w:rsidR="003F7DC9" w:rsidRPr="0062425D">
        <w:rPr>
          <w:rFonts w:eastAsia="Times New Roman"/>
          <w:lang w:val="id-ID"/>
        </w:rPr>
        <w:t xml:space="preserve">HAT </w:t>
      </w:r>
      <w:r w:rsidR="003F7DC9" w:rsidRPr="0062425D">
        <w:rPr>
          <w:rFonts w:eastAsia="Times New Roman"/>
        </w:rPr>
        <w:t xml:space="preserve">tidak </w:t>
      </w:r>
      <w:r w:rsidR="003F7DC9" w:rsidRPr="0062425D">
        <w:rPr>
          <w:rFonts w:eastAsia="Times New Roman"/>
          <w:lang w:val="id-ID"/>
        </w:rPr>
        <w:t>terpisahkan</w:t>
      </w:r>
      <w:r w:rsidR="003F7DC9" w:rsidRPr="0062425D">
        <w:rPr>
          <w:rFonts w:eastAsia="Times New Roman"/>
        </w:rPr>
        <w:t>.</w:t>
      </w:r>
      <w:r w:rsidR="003F7DC9" w:rsidRPr="0062425D">
        <w:rPr>
          <w:rFonts w:eastAsia="Times New Roman"/>
          <w:lang w:val="id-ID"/>
        </w:rPr>
        <w:t xml:space="preserve"> Sebelum melakukan kegiatan pertambangan diwajibkan memperoleh </w:t>
      </w:r>
      <w:r w:rsidR="003F7DC9" w:rsidRPr="0062425D">
        <w:rPr>
          <w:rFonts w:eastAsia="Times New Roman"/>
        </w:rPr>
        <w:t xml:space="preserve">izin dari instansi pemerintah </w:t>
      </w:r>
      <w:r w:rsidR="003F7DC9" w:rsidRPr="0062425D">
        <w:rPr>
          <w:rFonts w:eastAsia="Times New Roman"/>
          <w:lang w:val="id-ID"/>
        </w:rPr>
        <w:t>serta</w:t>
      </w:r>
      <w:r w:rsidR="003F7DC9" w:rsidRPr="0062425D">
        <w:rPr>
          <w:rFonts w:eastAsia="Times New Roman"/>
        </w:rPr>
        <w:t xml:space="preserve"> dari pemegang </w:t>
      </w:r>
      <w:r w:rsidR="003F7DC9" w:rsidRPr="0062425D">
        <w:rPr>
          <w:rFonts w:eastAsia="Times New Roman"/>
          <w:lang w:val="id-ID"/>
        </w:rPr>
        <w:t>HAT, sebagaimana diatur</w:t>
      </w:r>
      <w:r w:rsidRPr="0062425D">
        <w:rPr>
          <w:rFonts w:eastAsia="Times New Roman"/>
        </w:rPr>
        <w:t xml:space="preserve"> dalam Pasal 134 ayat (3) UU </w:t>
      </w:r>
      <w:r w:rsidR="004C25EC" w:rsidRPr="0062425D">
        <w:rPr>
          <w:rFonts w:eastAsia="Times New Roman"/>
          <w:lang w:val="id-ID"/>
        </w:rPr>
        <w:t>P</w:t>
      </w:r>
      <w:r w:rsidRPr="0062425D">
        <w:rPr>
          <w:rFonts w:eastAsia="Times New Roman"/>
        </w:rPr>
        <w:t xml:space="preserve">ertambangan 2009) yang mensyaratkan jika kegiatan pertambangan dapat </w:t>
      </w:r>
    </w:p>
    <w:p w14:paraId="39C1DCA0" w14:textId="77777777" w:rsidR="0007226F" w:rsidRPr="0062425D" w:rsidRDefault="0007226F" w:rsidP="0062425D">
      <w:pPr>
        <w:pBdr>
          <w:top w:val="nil"/>
          <w:left w:val="nil"/>
          <w:bottom w:val="nil"/>
          <w:right w:val="nil"/>
          <w:between w:val="nil"/>
        </w:pBdr>
        <w:spacing w:line="276" w:lineRule="auto"/>
        <w:jc w:val="both"/>
        <w:rPr>
          <w:rFonts w:eastAsia="Times New Roman"/>
        </w:rPr>
      </w:pPr>
    </w:p>
    <w:p w14:paraId="050DBCF5" w14:textId="77777777" w:rsidR="0007226F" w:rsidRPr="0062425D" w:rsidRDefault="0007226F" w:rsidP="0062425D">
      <w:pPr>
        <w:pBdr>
          <w:top w:val="nil"/>
          <w:left w:val="nil"/>
          <w:bottom w:val="nil"/>
          <w:right w:val="nil"/>
          <w:between w:val="nil"/>
        </w:pBdr>
        <w:spacing w:line="276" w:lineRule="auto"/>
        <w:jc w:val="both"/>
        <w:rPr>
          <w:rFonts w:eastAsia="Times New Roman"/>
        </w:rPr>
      </w:pPr>
    </w:p>
    <w:p w14:paraId="51E5BE7D" w14:textId="2B08A0CE" w:rsidR="00984A04" w:rsidRPr="0062425D" w:rsidRDefault="00984A04" w:rsidP="0062425D">
      <w:pPr>
        <w:pBdr>
          <w:top w:val="nil"/>
          <w:left w:val="nil"/>
          <w:bottom w:val="nil"/>
          <w:right w:val="nil"/>
          <w:between w:val="nil"/>
        </w:pBdr>
        <w:spacing w:line="276" w:lineRule="auto"/>
        <w:jc w:val="both"/>
        <w:rPr>
          <w:rFonts w:eastAsia="Times New Roman"/>
          <w:lang w:val="id-ID"/>
        </w:rPr>
      </w:pPr>
      <w:r w:rsidRPr="0062425D">
        <w:rPr>
          <w:rFonts w:eastAsia="Times New Roman"/>
        </w:rPr>
        <w:t xml:space="preserve">dilakukan hanya setelah mendapat izin dari instansi serta disetujui pemegang </w:t>
      </w:r>
      <w:r w:rsidR="003F7DC9" w:rsidRPr="0062425D">
        <w:rPr>
          <w:rFonts w:eastAsia="Times New Roman"/>
          <w:lang w:val="id-ID"/>
        </w:rPr>
        <w:t>HAT</w:t>
      </w:r>
      <w:r w:rsidRPr="0062425D">
        <w:rPr>
          <w:rFonts w:eastAsia="Times New Roman"/>
        </w:rPr>
        <w:t xml:space="preserve"> </w:t>
      </w:r>
      <w:r w:rsidRPr="0062425D">
        <w:rPr>
          <w:rFonts w:eastAsia="Times New Roman"/>
        </w:rPr>
        <w:fldChar w:fldCharType="begin" w:fldLock="1"/>
      </w:r>
      <w:r w:rsidRPr="0062425D">
        <w:rPr>
          <w:rFonts w:eastAsia="Times New Roman"/>
        </w:rPr>
        <w:instrText>ADDIN CSL_CITATION {"citationItems":[{"id":"ITEM-1","itemData":{"URL":"https://www.google.com/search?q=hak+atas+tanah+IUP&amp;oq=hak+atas+tanah+IUP&amp;aqs=edge..69i57j0i333l4.6089j0j1&amp;sourceid=chrome&amp;ie=UTF-8","accessed":{"date-parts":[["2021","11","30"]]},"author":[{"dropping-particle":"","family":"Kurnia","given":"Abi Jam'an","non-dropping-particle":"","parse-names":false,"suffix":""}],"id":"ITEM-1","issued":{"date-parts":[["2019"]]},"title":"Dapatkah Pemegang Izin Usaha Pertambangan Diberikan Hak Atas Tanah?","type":"webpage"},"uris":["http://www.mendeley.com/documents/?uuid=45184086-8d2a-4e45-bf6a-69195faecb83"]}],"mendeley":{"formattedCitation":"(Kurnia 2019)","plainTextFormattedCitation":"(Kurnia 2019)","previouslyFormattedCitation":"(Kurnia 2019)"},"properties":{"noteIndex":0},"schema":"https://github.com/citation-style-language/schema/raw/master/csl-citation.json"}</w:instrText>
      </w:r>
      <w:r w:rsidRPr="0062425D">
        <w:rPr>
          <w:rFonts w:eastAsia="Times New Roman"/>
        </w:rPr>
        <w:fldChar w:fldCharType="separate"/>
      </w:r>
      <w:r w:rsidRPr="0062425D">
        <w:rPr>
          <w:rFonts w:eastAsia="Times New Roman"/>
          <w:noProof/>
        </w:rPr>
        <w:t>(Kurnia 2019)</w:t>
      </w:r>
      <w:r w:rsidRPr="0062425D">
        <w:rPr>
          <w:rFonts w:eastAsia="Times New Roman"/>
        </w:rPr>
        <w:fldChar w:fldCharType="end"/>
      </w:r>
      <w:r w:rsidRPr="0062425D">
        <w:rPr>
          <w:rFonts w:eastAsia="Times New Roman"/>
        </w:rPr>
        <w:t xml:space="preserve">. </w:t>
      </w:r>
    </w:p>
    <w:p w14:paraId="38EE9B06" w14:textId="194A2C52" w:rsidR="00BB2147" w:rsidRPr="0062425D" w:rsidRDefault="00984A04" w:rsidP="0062425D">
      <w:pPr>
        <w:pStyle w:val="BodyText"/>
        <w:spacing w:line="276" w:lineRule="auto"/>
        <w:ind w:firstLine="426"/>
        <w:rPr>
          <w:lang w:val="id-ID"/>
        </w:rPr>
      </w:pPr>
      <w:r w:rsidRPr="0062425D">
        <w:rPr>
          <w:lang w:val="id-ID"/>
        </w:rPr>
        <w:lastRenderedPageBreak/>
        <w:t>Berkaitan dengan persyaratan tersebut, t</w:t>
      </w:r>
      <w:r w:rsidR="00302476" w:rsidRPr="0062425D">
        <w:t xml:space="preserve">erbukti dengan </w:t>
      </w:r>
      <w:r w:rsidR="00BB2147" w:rsidRPr="0062425D">
        <w:t>masih dijumpai</w:t>
      </w:r>
      <w:r w:rsidR="00302476" w:rsidRPr="0062425D">
        <w:t>nya</w:t>
      </w:r>
      <w:r w:rsidR="00BB2147" w:rsidRPr="0062425D">
        <w:t xml:space="preserve"> persoalan terkait tumpang tindih yang marak terjadi di </w:t>
      </w:r>
      <w:r w:rsidR="0097105C" w:rsidRPr="0062425D">
        <w:t xml:space="preserve">daerah yang </w:t>
      </w:r>
      <w:r w:rsidR="004346FE" w:rsidRPr="0062425D">
        <w:t xml:space="preserve">memiliki singkapan batubara seperti di </w:t>
      </w:r>
      <w:r w:rsidR="00BB2147" w:rsidRPr="0062425D">
        <w:t>Kalimantan</w:t>
      </w:r>
      <w:r w:rsidR="004346FE" w:rsidRPr="0062425D">
        <w:t xml:space="preserve">, </w:t>
      </w:r>
      <w:r w:rsidR="00BB2147" w:rsidRPr="0062425D">
        <w:t>tumpang tindih</w:t>
      </w:r>
      <w:r w:rsidR="004346FE" w:rsidRPr="0062425D">
        <w:t xml:space="preserve"> cenderung terjadi antara</w:t>
      </w:r>
      <w:r w:rsidR="00BB2147" w:rsidRPr="0062425D">
        <w:t xml:space="preserve"> </w:t>
      </w:r>
      <w:r w:rsidR="003F7DC9" w:rsidRPr="0062425D">
        <w:rPr>
          <w:lang w:val="id-ID"/>
        </w:rPr>
        <w:t>HAT</w:t>
      </w:r>
      <w:r w:rsidR="00E7654D" w:rsidRPr="0062425D">
        <w:t xml:space="preserve"> yaitu </w:t>
      </w:r>
      <w:r w:rsidR="00BB2147" w:rsidRPr="0062425D">
        <w:t xml:space="preserve">Hak Guna Usaha (HGU) dengan </w:t>
      </w:r>
      <w:r w:rsidR="00E7654D" w:rsidRPr="0062425D">
        <w:t xml:space="preserve">hak atas pertambangan berupa </w:t>
      </w:r>
      <w:r w:rsidR="00BB2147" w:rsidRPr="0062425D">
        <w:t xml:space="preserve">Izin Usaha Pertambangan (IUP) </w:t>
      </w:r>
      <w:r w:rsidR="00BB2147" w:rsidRPr="0062425D">
        <w:fldChar w:fldCharType="begin" w:fldLock="1"/>
      </w:r>
      <w:r w:rsidR="00454524" w:rsidRPr="0062425D">
        <w:instrText>ADDIN CSL_CITATION {"citationItems":[{"id":"ITEM-1","itemData":{"author":[{"dropping-particle":"","family":"Utami","given":"Ristya Amalia","non-dropping-particle":"","parse-names":false,"suffix":""}],"container-title":"Justitia Jurnal Hukum","id":"ITEM-1","issue":"2","issued":{"date-parts":[["2018"]]},"page":"317-330","title":"Tumpang Tindih Antara Izin Usaha Pertambangan dengan Hak Guna Usaha Perkebunan","type":"article-journal","volume":"2"},"uris":["http://www.mendeley.com/documents/?uuid=367bd110-7764-4b48-bcb2-7896a95dbd00"]}],"mendeley":{"formattedCitation":"(Utami 2018)","plainTextFormattedCitation":"(Utami 2018)","previouslyFormattedCitation":"(Utami 2018)"},"properties":{"noteIndex":0},"schema":"https://github.com/citation-style-language/schema/raw/master/csl-citation.json"}</w:instrText>
      </w:r>
      <w:r w:rsidR="00BB2147" w:rsidRPr="0062425D">
        <w:fldChar w:fldCharType="separate"/>
      </w:r>
      <w:r w:rsidR="00BB2147" w:rsidRPr="0062425D">
        <w:rPr>
          <w:noProof/>
        </w:rPr>
        <w:t>(Utami 2018)</w:t>
      </w:r>
      <w:r w:rsidR="00BB2147" w:rsidRPr="0062425D">
        <w:rPr>
          <w:lang w:val="id-ID"/>
        </w:rPr>
        <w:fldChar w:fldCharType="end"/>
      </w:r>
      <w:r w:rsidR="00BB2147" w:rsidRPr="0062425D">
        <w:t>. Perkara yang terjadi antara PT. Brian Anjat Sentosa</w:t>
      </w:r>
      <w:r w:rsidR="0042122D" w:rsidRPr="0062425D">
        <w:rPr>
          <w:lang w:val="id-ID"/>
        </w:rPr>
        <w:t xml:space="preserve"> (selanjutnya disebut PT. BAS)</w:t>
      </w:r>
      <w:r w:rsidR="00BB2147" w:rsidRPr="0062425D">
        <w:t xml:space="preserve"> melawan PT. Sasana Yudha Bhakti</w:t>
      </w:r>
      <w:r w:rsidR="0042122D" w:rsidRPr="0062425D">
        <w:rPr>
          <w:lang w:val="id-ID"/>
        </w:rPr>
        <w:t xml:space="preserve"> (selanjutnya disebut PT. SYB)</w:t>
      </w:r>
      <w:r w:rsidR="00BB2147" w:rsidRPr="0062425D">
        <w:t>, merupakan salah satu buktinya terjadi</w:t>
      </w:r>
      <w:r w:rsidR="00710E05" w:rsidRPr="0062425D">
        <w:t>nya tumpang tindih HGU dan IUP.</w:t>
      </w:r>
      <w:r w:rsidR="00710E05" w:rsidRPr="0062425D">
        <w:rPr>
          <w:lang w:val="id-ID"/>
        </w:rPr>
        <w:t xml:space="preserve"> </w:t>
      </w:r>
      <w:r w:rsidR="0042122D" w:rsidRPr="0062425D">
        <w:rPr>
          <w:lang w:val="id-ID"/>
        </w:rPr>
        <w:t xml:space="preserve">Objek sengketa dari perkara tersebut ialah bidang tanah di Desa Gunung Sari dan Ritan Baru, Kecamatan Tabang, Kabupaten Kutai Kartanegara Provinsi Kalimantan Timur, seluas 941,17ha alas hak Sertifikat Hak Guna Usaha No. 116 </w:t>
      </w:r>
      <w:r w:rsidR="0042122D" w:rsidRPr="0062425D">
        <w:t xml:space="preserve">tertanggal 29 Oktober 2009 </w:t>
      </w:r>
      <w:r w:rsidR="0042122D" w:rsidRPr="0062425D">
        <w:rPr>
          <w:lang w:val="id-ID"/>
        </w:rPr>
        <w:t>dan bidang tanah di Desa Buluksen, Kecamatan Tabang, Kabupaten Kutai Kartanegara, Provinsi Kalimantan Timur, seluas 4.659.100m</w:t>
      </w:r>
      <w:r w:rsidR="0042122D" w:rsidRPr="0062425D">
        <w:rPr>
          <w:vertAlign w:val="superscript"/>
          <w:lang w:val="id-ID"/>
        </w:rPr>
        <w:t>2</w:t>
      </w:r>
      <w:r w:rsidR="0042122D" w:rsidRPr="0062425D">
        <w:rPr>
          <w:lang w:val="id-ID"/>
        </w:rPr>
        <w:t xml:space="preserve"> alas hak Sertifikat Hak Guna Usaha No. 147</w:t>
      </w:r>
      <w:r w:rsidR="0042122D" w:rsidRPr="0062425D">
        <w:t xml:space="preserve"> tertanggal 29 September 2010</w:t>
      </w:r>
      <w:r w:rsidR="0042122D" w:rsidRPr="0062425D">
        <w:rPr>
          <w:lang w:val="id-ID"/>
        </w:rPr>
        <w:t xml:space="preserve">. </w:t>
      </w:r>
      <w:r w:rsidR="00BB2147" w:rsidRPr="0062425D">
        <w:t xml:space="preserve">Perkara </w:t>
      </w:r>
      <w:r w:rsidR="00BB2147" w:rsidRPr="0062425D">
        <w:rPr>
          <w:lang w:val="id-ID"/>
        </w:rPr>
        <w:t>tersebut</w:t>
      </w:r>
      <w:r w:rsidR="00BB2147" w:rsidRPr="0062425D">
        <w:t xml:space="preserve"> telah diputus berdasarkan Putusan Mahkamah Agung</w:t>
      </w:r>
      <w:r w:rsidR="0042122D" w:rsidRPr="0062425D">
        <w:t xml:space="preserve"> Nomor 47 K/TUN/2020 dengan PT.</w:t>
      </w:r>
      <w:r w:rsidR="0042122D" w:rsidRPr="0062425D">
        <w:rPr>
          <w:lang w:val="id-ID"/>
        </w:rPr>
        <w:t>SYB</w:t>
      </w:r>
      <w:r w:rsidR="00BB2147" w:rsidRPr="0062425D">
        <w:t xml:space="preserve"> sebagai Pemohon Kasasi II dan PT. </w:t>
      </w:r>
      <w:r w:rsidR="0042122D" w:rsidRPr="0062425D">
        <w:rPr>
          <w:lang w:val="id-ID"/>
        </w:rPr>
        <w:t>BAS</w:t>
      </w:r>
      <w:r w:rsidR="00BB2147" w:rsidRPr="0062425D">
        <w:t xml:space="preserve"> sebagai Termohon Kasasi.</w:t>
      </w:r>
    </w:p>
    <w:p w14:paraId="3B5607B6" w14:textId="77777777" w:rsidR="003F7DC9" w:rsidRPr="0062425D" w:rsidRDefault="00BB2147" w:rsidP="0062425D">
      <w:pPr>
        <w:pStyle w:val="BodyText"/>
        <w:spacing w:line="276" w:lineRule="auto"/>
        <w:ind w:firstLine="426"/>
        <w:rPr>
          <w:lang w:val="id-ID"/>
        </w:rPr>
      </w:pPr>
      <w:r w:rsidRPr="0062425D">
        <w:rPr>
          <w:lang w:val="id-ID"/>
        </w:rPr>
        <w:t xml:space="preserve">Keberadaan IUP bukanlah merupakan bukti atau tanda hak atas kepemilikian suatu bidang tanah, sebagaimana ketentuan Pasal 137 UU Pertambangan. Pasal 18 Undang-Undang Nomor 5 Tahun 1960 tentang Pokok-Pokok Agraria (selanjutnya disebut UUPA) menerangkan terhadap </w:t>
      </w:r>
      <w:r w:rsidR="003F7DC9" w:rsidRPr="0062425D">
        <w:rPr>
          <w:lang w:val="id-ID"/>
        </w:rPr>
        <w:t>HAT</w:t>
      </w:r>
      <w:r w:rsidRPr="0062425D">
        <w:rPr>
          <w:lang w:val="id-ID"/>
        </w:rPr>
        <w:t xml:space="preserve"> yang dimanfaatkan untuk kegiatan pertambangan harus melalui pembebasan dengan pemberian ganti rugi terhadap pemegang </w:t>
      </w:r>
      <w:r w:rsidR="003F7DC9" w:rsidRPr="0062425D">
        <w:rPr>
          <w:lang w:val="id-ID"/>
        </w:rPr>
        <w:t>HAT</w:t>
      </w:r>
      <w:r w:rsidR="005817F1" w:rsidRPr="0062425D">
        <w:t xml:space="preserve">. </w:t>
      </w:r>
      <w:r w:rsidR="003F7DC9" w:rsidRPr="0062425D">
        <w:rPr>
          <w:lang w:val="id-ID"/>
        </w:rPr>
        <w:t>Adanya peluang</w:t>
      </w:r>
      <w:r w:rsidR="00620B80" w:rsidRPr="0062425D">
        <w:t xml:space="preserve"> </w:t>
      </w:r>
      <w:r w:rsidR="003F7DC9" w:rsidRPr="0062425D">
        <w:rPr>
          <w:lang w:val="id-ID"/>
        </w:rPr>
        <w:t>pertentangan</w:t>
      </w:r>
      <w:r w:rsidR="00A378EE" w:rsidRPr="0062425D">
        <w:t xml:space="preserve"> </w:t>
      </w:r>
      <w:r w:rsidR="003F7DC9" w:rsidRPr="0062425D">
        <w:rPr>
          <w:lang w:val="id-ID"/>
        </w:rPr>
        <w:t xml:space="preserve">antar </w:t>
      </w:r>
      <w:r w:rsidR="00A378EE" w:rsidRPr="0062425D">
        <w:t xml:space="preserve">kepentingan terhadap penggunaan tanah sangat </w:t>
      </w:r>
      <w:r w:rsidR="00CB7D4D" w:rsidRPr="0062425D">
        <w:t>dimungkinkan</w:t>
      </w:r>
      <w:r w:rsidR="002B32F0" w:rsidRPr="0062425D">
        <w:t xml:space="preserve">. </w:t>
      </w:r>
      <w:r w:rsidR="003F7DC9" w:rsidRPr="0062425D">
        <w:rPr>
          <w:lang w:val="id-ID"/>
        </w:rPr>
        <w:t>Pertentangan</w:t>
      </w:r>
      <w:r w:rsidR="002B32F0" w:rsidRPr="0062425D">
        <w:t xml:space="preserve"> tersebut terjadi ketika pemerintah memberikan </w:t>
      </w:r>
      <w:r w:rsidR="003F7DC9" w:rsidRPr="0062425D">
        <w:rPr>
          <w:lang w:val="id-ID"/>
        </w:rPr>
        <w:t>HAT</w:t>
      </w:r>
      <w:r w:rsidR="002B32F0" w:rsidRPr="0062425D">
        <w:t xml:space="preserve"> dan </w:t>
      </w:r>
      <w:r w:rsidR="003F7DC9" w:rsidRPr="0062425D">
        <w:rPr>
          <w:lang w:val="id-ID"/>
        </w:rPr>
        <w:t xml:space="preserve">memberikan </w:t>
      </w:r>
      <w:r w:rsidR="002B32F0" w:rsidRPr="0062425D">
        <w:t>hak atas pertambangan kepada dua pihak yang berbeda</w:t>
      </w:r>
      <w:r w:rsidR="00585CBF" w:rsidRPr="0062425D">
        <w:t xml:space="preserve"> karena sebagaimana ketentuan </w:t>
      </w:r>
      <w:r w:rsidR="00CB7D4D" w:rsidRPr="0062425D">
        <w:t>Pasal 138 UU Pertambangan</w:t>
      </w:r>
      <w:r w:rsidR="0061337D" w:rsidRPr="0062425D">
        <w:t xml:space="preserve"> </w:t>
      </w:r>
      <w:r w:rsidR="003F7DC9" w:rsidRPr="0062425D">
        <w:rPr>
          <w:lang w:val="id-ID"/>
        </w:rPr>
        <w:t xml:space="preserve">2009 </w:t>
      </w:r>
      <w:r w:rsidR="0061337D" w:rsidRPr="0062425D">
        <w:t>yang memang mengakui jika IUP bukanlah hak atas tanah</w:t>
      </w:r>
      <w:r w:rsidR="00473E58" w:rsidRPr="0062425D">
        <w:t xml:space="preserve"> </w:t>
      </w:r>
      <w:r w:rsidR="00473E58" w:rsidRPr="0062425D">
        <w:fldChar w:fldCharType="begin" w:fldLock="1"/>
      </w:r>
      <w:r w:rsidR="00454524" w:rsidRPr="0062425D">
        <w:instrText>ADDIN CSL_CITATION {"citationItems":[{"id":"ITEM-1","itemData":{"author":[{"dropping-particle":"","family":"Supramono","given":"Gatot","non-dropping-particle":"","parse-names":false,"suffix":""}],"id":"ITEM-1","issued":{"date-parts":[["2012"]]},"publisher":"Rineka Cipta","publisher-place":"Jakarta","title":"Hukum Pertambangan Mineral dan Batu Bara di Indonesia","type":"book"},"uris":["http://www.mendeley.com/documents/?uuid=da3421ae-126a-4fe6-a467-49e54ae049db"]}],"mendeley":{"formattedCitation":"(Supramono 2012)","plainTextFormattedCitation":"(Supramono 2012)","previouslyFormattedCitation":"(Supramono 2012)"},"properties":{"noteIndex":0},"schema":"https://github.com/citation-style-language/schema/raw/master/csl-citation.json"}</w:instrText>
      </w:r>
      <w:r w:rsidR="00473E58" w:rsidRPr="0062425D">
        <w:fldChar w:fldCharType="separate"/>
      </w:r>
      <w:r w:rsidR="00473E58" w:rsidRPr="0062425D">
        <w:rPr>
          <w:noProof/>
        </w:rPr>
        <w:t>(Supramono 2012)</w:t>
      </w:r>
      <w:r w:rsidR="00473E58" w:rsidRPr="0062425D">
        <w:fldChar w:fldCharType="end"/>
      </w:r>
      <w:r w:rsidR="007C5F74" w:rsidRPr="0062425D">
        <w:t xml:space="preserve">. </w:t>
      </w:r>
    </w:p>
    <w:p w14:paraId="11ABE61C" w14:textId="4FBC1E2A" w:rsidR="00B84020" w:rsidRPr="0062425D" w:rsidRDefault="007C5F74" w:rsidP="0062425D">
      <w:pPr>
        <w:pStyle w:val="BodyText"/>
        <w:spacing w:line="276" w:lineRule="auto"/>
        <w:ind w:firstLine="426"/>
      </w:pPr>
      <w:r w:rsidRPr="0062425D">
        <w:t>Isu yang menarik dari sengketa yang telah diuraikan sebelumnya ialah, hak atas tanah yaitu HGU dikalahkan dengan keberadaan IUP</w:t>
      </w:r>
      <w:r w:rsidR="00295176" w:rsidRPr="0062425D">
        <w:t xml:space="preserve">. Sehingga perlu didalami pertimbangan hakim dalam </w:t>
      </w:r>
      <w:r w:rsidR="00B457A5" w:rsidRPr="0062425D">
        <w:t>memprioritaskan keberadaan IUP</w:t>
      </w:r>
      <w:r w:rsidR="000225E1" w:rsidRPr="0062425D">
        <w:t xml:space="preserve">. </w:t>
      </w:r>
      <w:r w:rsidR="00BB2147" w:rsidRPr="0062425D">
        <w:rPr>
          <w:lang w:val="id-ID"/>
        </w:rPr>
        <w:t xml:space="preserve">Kepentingan agraria seperti yang diamanatkan dalam penjelasan umum UUPA </w:t>
      </w:r>
      <w:r w:rsidR="000225E1" w:rsidRPr="0062425D">
        <w:t>ditujukan untuk</w:t>
      </w:r>
      <w:r w:rsidR="00BB2147" w:rsidRPr="0062425D">
        <w:rPr>
          <w:lang w:val="id-ID"/>
        </w:rPr>
        <w:t xml:space="preserve"> memberikan kepastian hukum terhadap </w:t>
      </w:r>
      <w:r w:rsidR="003F7DC9" w:rsidRPr="0062425D">
        <w:rPr>
          <w:lang w:val="id-ID"/>
        </w:rPr>
        <w:t>para pemegang HAT</w:t>
      </w:r>
      <w:r w:rsidR="00BB2147" w:rsidRPr="0062425D">
        <w:rPr>
          <w:lang w:val="id-ID"/>
        </w:rPr>
        <w:t xml:space="preserve"> menjadi tidak terlaksana karena maladministratif yang dilakukan pejabat bersangkutan</w:t>
      </w:r>
      <w:r w:rsidR="004C25EC" w:rsidRPr="0062425D">
        <w:t>.</w:t>
      </w:r>
      <w:r w:rsidR="00BB2147" w:rsidRPr="0062425D">
        <w:rPr>
          <w:lang w:val="id-ID"/>
        </w:rPr>
        <w:t xml:space="preserve"> Adapun </w:t>
      </w:r>
      <w:r w:rsidR="00BB2147" w:rsidRPr="0062425D">
        <w:t xml:space="preserve">dari latar belakang tersebut, peneliti akan </w:t>
      </w:r>
      <w:r w:rsidR="00453C7E" w:rsidRPr="0062425D">
        <w:t xml:space="preserve">mengkaji mengenai pertimbangan hakim dan akibat hukum dari Putusan No. </w:t>
      </w:r>
      <w:r w:rsidR="00926B4C" w:rsidRPr="0062425D">
        <w:t>47 K/TUN/2020.</w:t>
      </w:r>
    </w:p>
    <w:p w14:paraId="0881A928" w14:textId="4F03E9B8" w:rsidR="00BB2147" w:rsidRDefault="00BB2147" w:rsidP="0062425D">
      <w:pPr>
        <w:pStyle w:val="BodyText"/>
        <w:spacing w:line="276" w:lineRule="auto"/>
        <w:ind w:firstLine="426"/>
        <w:rPr>
          <w:lang w:val="id-ID"/>
        </w:rPr>
      </w:pPr>
    </w:p>
    <w:p w14:paraId="642A0A6A" w14:textId="3ACD926C" w:rsidR="0062425D" w:rsidRDefault="0062425D" w:rsidP="0062425D">
      <w:pPr>
        <w:pStyle w:val="BodyText"/>
        <w:spacing w:line="276" w:lineRule="auto"/>
        <w:ind w:firstLine="426"/>
        <w:rPr>
          <w:lang w:val="id-ID"/>
        </w:rPr>
      </w:pPr>
    </w:p>
    <w:p w14:paraId="7B76F9F8" w14:textId="77777777" w:rsidR="0062425D" w:rsidRPr="0062425D" w:rsidRDefault="0062425D" w:rsidP="0062425D">
      <w:pPr>
        <w:pStyle w:val="BodyText"/>
        <w:spacing w:line="276" w:lineRule="auto"/>
        <w:ind w:firstLine="426"/>
        <w:rPr>
          <w:lang w:val="id-ID"/>
        </w:rPr>
      </w:pPr>
    </w:p>
    <w:p w14:paraId="0AA78449" w14:textId="18FC312F" w:rsidR="00B84020" w:rsidRPr="0062425D" w:rsidRDefault="00B84020" w:rsidP="0062425D">
      <w:pPr>
        <w:pStyle w:val="BodyText"/>
        <w:spacing w:line="276" w:lineRule="auto"/>
        <w:ind w:firstLine="0"/>
        <w:rPr>
          <w:b/>
        </w:rPr>
      </w:pPr>
      <w:r w:rsidRPr="0062425D">
        <w:rPr>
          <w:b/>
          <w:lang w:val="id-ID"/>
        </w:rPr>
        <w:lastRenderedPageBreak/>
        <w:t>METODE</w:t>
      </w:r>
      <w:r w:rsidR="005247D7" w:rsidRPr="0062425D">
        <w:rPr>
          <w:b/>
        </w:rPr>
        <w:t xml:space="preserve"> PENELITIAN</w:t>
      </w:r>
    </w:p>
    <w:p w14:paraId="4FA131F3" w14:textId="77777777" w:rsidR="004C25EC" w:rsidRPr="0062425D" w:rsidRDefault="00A83D4B" w:rsidP="0062425D">
      <w:pPr>
        <w:pStyle w:val="BodyText"/>
        <w:spacing w:line="276" w:lineRule="auto"/>
        <w:ind w:firstLine="426"/>
        <w:rPr>
          <w:szCs w:val="24"/>
          <w:lang w:val="id-ID"/>
        </w:rPr>
      </w:pPr>
      <w:r w:rsidRPr="0062425D">
        <w:rPr>
          <w:szCs w:val="24"/>
          <w:lang w:val="id-ID"/>
        </w:rPr>
        <w:t xml:space="preserve">Analisis yuridis putusan Mahkamah Agung Nomor 47 K/TUN/2020 mengenai tumpang tindih antara </w:t>
      </w:r>
      <w:r w:rsidR="003F7DC9" w:rsidRPr="0062425D">
        <w:rPr>
          <w:szCs w:val="24"/>
          <w:lang w:val="id-ID"/>
        </w:rPr>
        <w:t xml:space="preserve">IUP batubara dengan HGU </w:t>
      </w:r>
      <w:r w:rsidRPr="0062425D">
        <w:rPr>
          <w:szCs w:val="24"/>
          <w:lang w:val="id-ID"/>
        </w:rPr>
        <w:t>perkebunan</w:t>
      </w:r>
      <w:r w:rsidR="00170779" w:rsidRPr="0062425D">
        <w:rPr>
          <w:szCs w:val="24"/>
          <w:lang w:val="id-ID"/>
        </w:rPr>
        <w:t xml:space="preserve"> memfokuskan pada </w:t>
      </w:r>
      <w:r w:rsidR="00713589" w:rsidRPr="0062425D">
        <w:rPr>
          <w:szCs w:val="24"/>
        </w:rPr>
        <w:t xml:space="preserve">pertimbangan hakim </w:t>
      </w:r>
      <w:r w:rsidR="00454444" w:rsidRPr="0062425D">
        <w:rPr>
          <w:szCs w:val="24"/>
        </w:rPr>
        <w:t xml:space="preserve">dalam memutus serta akibat hukum yang ditimbulkan. </w:t>
      </w:r>
      <w:r w:rsidR="00A87EAD" w:rsidRPr="0062425D">
        <w:rPr>
          <w:szCs w:val="24"/>
        </w:rPr>
        <w:t xml:space="preserve">Pertimbangan hukum dan akibat dari putusan akan dikaji </w:t>
      </w:r>
      <w:r w:rsidR="00CE0F83" w:rsidRPr="0062425D">
        <w:rPr>
          <w:szCs w:val="24"/>
        </w:rPr>
        <w:t xml:space="preserve">terhadap </w:t>
      </w:r>
      <w:r w:rsidR="00170779" w:rsidRPr="0062425D">
        <w:rPr>
          <w:szCs w:val="24"/>
          <w:lang w:val="id-ID"/>
        </w:rPr>
        <w:t xml:space="preserve">aturan hukum, asas-asas hukum, norma hukum, dan berbagi kepustakaan lainya untuk menjawab serta menyelesaikan permasalahan putusan yang sedang diteliti, </w:t>
      </w:r>
      <w:r w:rsidR="00D13A5A" w:rsidRPr="0062425D">
        <w:rPr>
          <w:szCs w:val="24"/>
          <w:lang w:val="id-ID"/>
        </w:rPr>
        <w:t>sehingga penelitian ini adalah</w:t>
      </w:r>
      <w:r w:rsidR="004869DB" w:rsidRPr="0062425D">
        <w:rPr>
          <w:szCs w:val="24"/>
        </w:rPr>
        <w:t xml:space="preserve"> </w:t>
      </w:r>
      <w:r w:rsidR="00170779" w:rsidRPr="0062425D">
        <w:rPr>
          <w:szCs w:val="24"/>
          <w:lang w:val="id-ID"/>
        </w:rPr>
        <w:t xml:space="preserve">penelitian </w:t>
      </w:r>
      <w:r w:rsidR="00170779" w:rsidRPr="0062425D">
        <w:rPr>
          <w:szCs w:val="24"/>
        </w:rPr>
        <w:t xml:space="preserve">hukum </w:t>
      </w:r>
      <w:r w:rsidR="00170779" w:rsidRPr="0062425D">
        <w:rPr>
          <w:szCs w:val="24"/>
          <w:lang w:val="id-ID"/>
        </w:rPr>
        <w:t>normatif</w:t>
      </w:r>
      <w:r w:rsidR="004869DB" w:rsidRPr="0062425D">
        <w:rPr>
          <w:szCs w:val="24"/>
        </w:rPr>
        <w:t xml:space="preserve">, karena penelitian hukum normatif merupakan penelitian yang akan memfokuskan pada penggunaan sumber hukum kepustakaan </w:t>
      </w:r>
      <w:r w:rsidR="004869DB" w:rsidRPr="0062425D">
        <w:rPr>
          <w:szCs w:val="24"/>
        </w:rPr>
        <w:fldChar w:fldCharType="begin" w:fldLock="1"/>
      </w:r>
      <w:r w:rsidR="00454524" w:rsidRPr="0062425D">
        <w:rPr>
          <w:szCs w:val="24"/>
        </w:rPr>
        <w:instrText>ADDIN CSL_CITATION {"citationItems":[{"id":"ITEM-1","itemData":{"author":[{"dropping-particle":"","family":"Efendi","given":"Jonaedi","non-dropping-particle":"","parse-names":false,"suffix":""},{"dropping-particle":"","family":"Ibrahim","given":"Johnny","non-dropping-particle":"","parse-names":false,"suffix":""}],"id":"ITEM-1","issued":{"date-parts":[["2020"]]},"number-of-pages":"1-303","publisher":"Kencana","publisher-place":"Jakarta","title":"Metode Penelitian Hukum Normatif dan Empiris","type":"book"},"uris":["http://www.mendeley.com/documents/?uuid=a66fb314-6738-4a0d-972f-68e08583e7e5"]}],"mendeley":{"formattedCitation":"(Efendi and Ibrahim 2020)","plainTextFormattedCitation":"(Efendi and Ibrahim 2020)","previouslyFormattedCitation":"(Efendi and Ibrahim 2020)"},"properties":{"noteIndex":0},"schema":"https://github.com/citation-style-language/schema/raw/master/csl-citation.json"}</w:instrText>
      </w:r>
      <w:r w:rsidR="004869DB" w:rsidRPr="0062425D">
        <w:rPr>
          <w:szCs w:val="24"/>
        </w:rPr>
        <w:fldChar w:fldCharType="separate"/>
      </w:r>
      <w:r w:rsidR="004869DB" w:rsidRPr="0062425D">
        <w:rPr>
          <w:noProof/>
          <w:szCs w:val="24"/>
        </w:rPr>
        <w:t>(Efendi and Ibrahim 2020)</w:t>
      </w:r>
      <w:r w:rsidR="004869DB" w:rsidRPr="0062425D">
        <w:rPr>
          <w:szCs w:val="24"/>
        </w:rPr>
        <w:fldChar w:fldCharType="end"/>
      </w:r>
      <w:r w:rsidR="00170779" w:rsidRPr="0062425D">
        <w:rPr>
          <w:szCs w:val="24"/>
        </w:rPr>
        <w:t xml:space="preserve">. </w:t>
      </w:r>
      <w:r w:rsidR="00170779" w:rsidRPr="0062425D">
        <w:rPr>
          <w:szCs w:val="24"/>
          <w:lang w:val="id-ID"/>
        </w:rPr>
        <w:t xml:space="preserve"> </w:t>
      </w:r>
    </w:p>
    <w:p w14:paraId="1B0FB084" w14:textId="558E5008" w:rsidR="00FE0B26" w:rsidRPr="0062425D" w:rsidRDefault="00170779" w:rsidP="0062425D">
      <w:pPr>
        <w:pStyle w:val="BodyText"/>
        <w:spacing w:line="276" w:lineRule="auto"/>
        <w:ind w:firstLine="426"/>
        <w:rPr>
          <w:b/>
        </w:rPr>
      </w:pPr>
      <w:r w:rsidRPr="0062425D">
        <w:rPr>
          <w:szCs w:val="24"/>
        </w:rPr>
        <w:t>Pendekatan perundang-undangan digunakan untuk meneliti pertim</w:t>
      </w:r>
      <w:r w:rsidR="00577CFA" w:rsidRPr="0062425D">
        <w:rPr>
          <w:szCs w:val="24"/>
        </w:rPr>
        <w:t xml:space="preserve">bangan hakim apakah bertentangan dengan peraturan yang berlaku, kemudian </w:t>
      </w:r>
      <w:r w:rsidR="00107776" w:rsidRPr="0062425D">
        <w:rPr>
          <w:szCs w:val="24"/>
        </w:rPr>
        <w:t>pendekatan kasus digunakan untuk menganalisis putusan No. 47/K/TUN/2020. Selanjutnya, p</w:t>
      </w:r>
      <w:r w:rsidR="00577CFA" w:rsidRPr="0062425D">
        <w:rPr>
          <w:szCs w:val="24"/>
        </w:rPr>
        <w:t xml:space="preserve">endekatan konseptual digunakan untuk memahami konsep dari </w:t>
      </w:r>
      <w:r w:rsidR="00D3234C" w:rsidRPr="0062425D">
        <w:rPr>
          <w:szCs w:val="24"/>
        </w:rPr>
        <w:t xml:space="preserve">kepemilikian </w:t>
      </w:r>
      <w:r w:rsidR="00D13A5A" w:rsidRPr="0062425D">
        <w:rPr>
          <w:szCs w:val="24"/>
          <w:lang w:val="id-ID"/>
        </w:rPr>
        <w:t>HAT</w:t>
      </w:r>
      <w:r w:rsidR="00D3234C" w:rsidRPr="0062425D">
        <w:rPr>
          <w:szCs w:val="24"/>
        </w:rPr>
        <w:t xml:space="preserve"> jika </w:t>
      </w:r>
      <w:r w:rsidR="00D13A5A" w:rsidRPr="0062425D">
        <w:rPr>
          <w:szCs w:val="24"/>
          <w:lang w:val="id-ID"/>
        </w:rPr>
        <w:t>dibandingkan</w:t>
      </w:r>
      <w:r w:rsidR="00D3234C" w:rsidRPr="0062425D">
        <w:rPr>
          <w:szCs w:val="24"/>
        </w:rPr>
        <w:t xml:space="preserve"> dengan keberadaan izin terhadap pemanfaatan </w:t>
      </w:r>
      <w:r w:rsidR="00D13A5A" w:rsidRPr="0062425D">
        <w:rPr>
          <w:szCs w:val="24"/>
          <w:lang w:val="id-ID"/>
        </w:rPr>
        <w:t>SDA</w:t>
      </w:r>
      <w:r w:rsidR="00D3234C" w:rsidRPr="0062425D">
        <w:rPr>
          <w:szCs w:val="24"/>
        </w:rPr>
        <w:t xml:space="preserve"> yang terletak di dalam tanah seperti </w:t>
      </w:r>
      <w:r w:rsidR="00D13A5A" w:rsidRPr="0062425D">
        <w:rPr>
          <w:szCs w:val="24"/>
          <w:lang w:val="id-ID"/>
        </w:rPr>
        <w:t>IUP</w:t>
      </w:r>
      <w:r w:rsidR="00D3234C" w:rsidRPr="0062425D">
        <w:rPr>
          <w:szCs w:val="24"/>
        </w:rPr>
        <w:t>.</w:t>
      </w:r>
      <w:r w:rsidR="00A66466" w:rsidRPr="0062425D">
        <w:rPr>
          <w:szCs w:val="24"/>
        </w:rPr>
        <w:t xml:space="preserve"> Dalam penelitian ini digunakan dua (2) bahan hukum yaitu bahan hukum primer dan </w:t>
      </w:r>
      <w:r w:rsidR="00D13A5A" w:rsidRPr="0062425D">
        <w:rPr>
          <w:szCs w:val="24"/>
          <w:lang w:val="id-ID"/>
        </w:rPr>
        <w:t>bahan hukum sekunder</w:t>
      </w:r>
      <w:r w:rsidR="00147999" w:rsidRPr="0062425D">
        <w:rPr>
          <w:szCs w:val="24"/>
        </w:rPr>
        <w:t>. Teknik pengumpulan terhadap bahan hukum menggunakan studi kepustakaan, dari bahan hukum tersebut digunakan Teknik analisis yaitu preskriptif.</w:t>
      </w:r>
      <w:r w:rsidR="00D3234C" w:rsidRPr="0062425D">
        <w:rPr>
          <w:szCs w:val="24"/>
        </w:rPr>
        <w:t xml:space="preserve"> </w:t>
      </w:r>
    </w:p>
    <w:p w14:paraId="70F43F29" w14:textId="77777777" w:rsidR="00102A59" w:rsidRPr="0062425D" w:rsidRDefault="00102A59" w:rsidP="0062425D">
      <w:pPr>
        <w:pStyle w:val="BodyText"/>
        <w:ind w:firstLine="0"/>
        <w:rPr>
          <w:lang w:val="id-ID"/>
        </w:rPr>
      </w:pPr>
    </w:p>
    <w:p w14:paraId="561B9433" w14:textId="33215A33" w:rsidR="00A365B8" w:rsidRPr="0062425D" w:rsidRDefault="00A365B8" w:rsidP="0062425D">
      <w:pPr>
        <w:pStyle w:val="BodyText"/>
        <w:ind w:firstLine="0"/>
        <w:rPr>
          <w:b/>
          <w:lang w:val="id-ID"/>
        </w:rPr>
      </w:pPr>
      <w:r w:rsidRPr="0062425D">
        <w:rPr>
          <w:b/>
          <w:lang w:val="id-ID"/>
        </w:rPr>
        <w:t xml:space="preserve">HASIL </w:t>
      </w:r>
      <w:r w:rsidR="0062425D">
        <w:rPr>
          <w:b/>
          <w:lang w:val="id-ID"/>
        </w:rPr>
        <w:t>dan</w:t>
      </w:r>
      <w:r w:rsidRPr="0062425D">
        <w:rPr>
          <w:b/>
          <w:lang w:val="id-ID"/>
        </w:rPr>
        <w:t xml:space="preserve"> PEMBAHASAN</w:t>
      </w:r>
    </w:p>
    <w:p w14:paraId="27294C32" w14:textId="183027BD" w:rsidR="00A365B8" w:rsidRPr="0062425D" w:rsidRDefault="00A365B8" w:rsidP="0062425D">
      <w:pPr>
        <w:pStyle w:val="BodyText"/>
        <w:ind w:firstLine="0"/>
        <w:rPr>
          <w:b/>
          <w:lang w:val="id-ID"/>
        </w:rPr>
      </w:pPr>
      <w:r w:rsidRPr="0062425D">
        <w:rPr>
          <w:b/>
          <w:lang w:val="id-ID"/>
        </w:rPr>
        <w:t xml:space="preserve">Pertimbangan Hakim dalam Putusan Mahkamah Agung Nomor 47 K/TUN/2020 </w:t>
      </w:r>
    </w:p>
    <w:p w14:paraId="12B4D38D" w14:textId="7FE0AA32" w:rsidR="00E71B09" w:rsidRPr="0062425D" w:rsidRDefault="00E71B09" w:rsidP="0062425D">
      <w:pPr>
        <w:pStyle w:val="BodyText"/>
        <w:numPr>
          <w:ilvl w:val="0"/>
          <w:numId w:val="37"/>
        </w:numPr>
        <w:rPr>
          <w:lang w:val="id-ID"/>
        </w:rPr>
      </w:pPr>
      <w:r w:rsidRPr="0062425D">
        <w:rPr>
          <w:lang w:val="id-ID"/>
        </w:rPr>
        <w:t xml:space="preserve">Pertimbangan hakim mengenai kewenangan Pengadilan Tata Usaha Negara </w:t>
      </w:r>
    </w:p>
    <w:p w14:paraId="4F17272E" w14:textId="7CE68A0A" w:rsidR="0010637B" w:rsidRPr="0062425D" w:rsidRDefault="00E71B09" w:rsidP="0062425D">
      <w:pPr>
        <w:pStyle w:val="PH3"/>
        <w:spacing w:line="276" w:lineRule="auto"/>
        <w:ind w:left="709"/>
        <w:rPr>
          <w:rFonts w:ascii="Times New Roman" w:hAnsi="Times New Roman" w:cs="Times New Roman"/>
          <w:sz w:val="20"/>
          <w:szCs w:val="20"/>
        </w:rPr>
      </w:pPr>
      <w:r w:rsidRPr="0062425D">
        <w:rPr>
          <w:rFonts w:ascii="Times New Roman" w:hAnsi="Times New Roman" w:cs="Times New Roman"/>
          <w:sz w:val="20"/>
          <w:szCs w:val="20"/>
        </w:rPr>
        <w:t xml:space="preserve">Berdasarkan Pasal 53 ayat (1) </w:t>
      </w:r>
      <w:r w:rsidR="00D1161D" w:rsidRPr="0062425D">
        <w:rPr>
          <w:rFonts w:ascii="Times New Roman" w:hAnsi="Times New Roman" w:cs="Times New Roman"/>
          <w:sz w:val="20"/>
          <w:szCs w:val="20"/>
        </w:rPr>
        <w:t xml:space="preserve">UU No. 5 Tahun 1986 tentang Pengadilan Tata Usaha Negara (selanjutnya disebut UU </w:t>
      </w:r>
      <w:r w:rsidRPr="0062425D">
        <w:rPr>
          <w:rFonts w:ascii="Times New Roman" w:hAnsi="Times New Roman" w:cs="Times New Roman"/>
          <w:sz w:val="20"/>
          <w:szCs w:val="20"/>
        </w:rPr>
        <w:t>Peratu</w:t>
      </w:r>
      <w:r w:rsidR="00D1161D" w:rsidRPr="0062425D">
        <w:rPr>
          <w:rFonts w:ascii="Times New Roman" w:hAnsi="Times New Roman" w:cs="Times New Roman"/>
          <w:sz w:val="20"/>
          <w:szCs w:val="20"/>
        </w:rPr>
        <w:t xml:space="preserve">n) </w:t>
      </w:r>
      <w:r w:rsidRPr="0062425D">
        <w:rPr>
          <w:rFonts w:ascii="Times New Roman" w:hAnsi="Times New Roman" w:cs="Times New Roman"/>
          <w:sz w:val="20"/>
          <w:szCs w:val="20"/>
        </w:rPr>
        <w:t>dijelaskan mengenai alasan yang dapat diajukan untuk mengajukan gugatan ke PTUN yakni memuat tuntutan agar KTUN yang sedang disengketakan dinyatakan BATAL atau TIDAK SAH dengan atau tidak disertai ganti rugi dan/atau rehabilitasi</w:t>
      </w:r>
      <w:r w:rsidR="007471BC" w:rsidRPr="0062425D">
        <w:rPr>
          <w:rFonts w:ascii="Times New Roman" w:hAnsi="Times New Roman" w:cs="Times New Roman"/>
          <w:sz w:val="20"/>
          <w:szCs w:val="20"/>
        </w:rPr>
        <w:t xml:space="preserve"> </w:t>
      </w:r>
      <w:r w:rsidR="007471BC" w:rsidRPr="0062425D">
        <w:rPr>
          <w:rFonts w:ascii="Times New Roman" w:hAnsi="Times New Roman" w:cs="Times New Roman"/>
          <w:sz w:val="20"/>
          <w:szCs w:val="20"/>
        </w:rPr>
        <w:fldChar w:fldCharType="begin" w:fldLock="1"/>
      </w:r>
      <w:r w:rsidR="007471BC" w:rsidRPr="0062425D">
        <w:rPr>
          <w:rFonts w:ascii="Times New Roman" w:hAnsi="Times New Roman" w:cs="Times New Roman"/>
          <w:sz w:val="20"/>
          <w:szCs w:val="20"/>
        </w:rPr>
        <w:instrText>ADDIN CSL_CITATION {"citationItems":[{"id":"ITEM-1","itemData":{"author":[{"dropping-particle":"","family":"Indonesia","given":"","non-dropping-particle":"","parse-names":false,"suffix":""}],"id":"ITEM-1","issued":{"date-parts":[["1986"]]},"title":"Undang-Undang Nomor 5 Tahun 1986 tentang Pengadilan Tata Usaha Negara (LN No. 77 Tahun 1986)","type":"legislation"},"uris":["http://www.mendeley.com/documents/?uuid=0f690e21-fe59-4a5b-8286-612a01773d31"]}],"mendeley":{"formattedCitation":"(Indonesia 1986)","plainTextFormattedCitation":"(Indonesia 1986)","previouslyFormattedCitation":"(Indonesia 1986)"},"properties":{"noteIndex":0},"schema":"https://github.com/citation-style-language/schema/raw/master/csl-citation.json"}</w:instrText>
      </w:r>
      <w:r w:rsidR="007471BC" w:rsidRPr="0062425D">
        <w:rPr>
          <w:rFonts w:ascii="Times New Roman" w:hAnsi="Times New Roman" w:cs="Times New Roman"/>
          <w:sz w:val="20"/>
          <w:szCs w:val="20"/>
        </w:rPr>
        <w:fldChar w:fldCharType="separate"/>
      </w:r>
      <w:r w:rsidR="007471BC" w:rsidRPr="0062425D">
        <w:rPr>
          <w:rFonts w:ascii="Times New Roman" w:hAnsi="Times New Roman" w:cs="Times New Roman"/>
          <w:noProof/>
          <w:sz w:val="20"/>
          <w:szCs w:val="20"/>
        </w:rPr>
        <w:t>(Indonesia 1986)</w:t>
      </w:r>
      <w:r w:rsidR="007471BC" w:rsidRPr="0062425D">
        <w:rPr>
          <w:rFonts w:ascii="Times New Roman" w:hAnsi="Times New Roman" w:cs="Times New Roman"/>
          <w:sz w:val="20"/>
          <w:szCs w:val="20"/>
        </w:rPr>
        <w:fldChar w:fldCharType="end"/>
      </w:r>
      <w:r w:rsidRPr="0062425D">
        <w:rPr>
          <w:rFonts w:ascii="Times New Roman" w:hAnsi="Times New Roman" w:cs="Times New Roman"/>
          <w:sz w:val="20"/>
          <w:szCs w:val="20"/>
        </w:rPr>
        <w:t xml:space="preserve">. Selain itu dalam ayat (2) dijelaskan alasan yang dapat digunakan untuk mengajukan gugatan ke PTUN ialah KTUN yang telah diterbitkan bertentangan dengan ketentuan peraturan perundang-undangan dan </w:t>
      </w:r>
      <w:r w:rsidR="0010637B" w:rsidRPr="0062425D">
        <w:rPr>
          <w:rFonts w:ascii="Times New Roman" w:hAnsi="Times New Roman" w:cs="Times New Roman"/>
          <w:sz w:val="20"/>
          <w:szCs w:val="20"/>
        </w:rPr>
        <w:t xml:space="preserve">asas-asas umum pemerintahan yang baik (AAUPB) </w:t>
      </w:r>
      <w:r w:rsidR="0010637B" w:rsidRPr="0062425D">
        <w:rPr>
          <w:rFonts w:ascii="Times New Roman" w:hAnsi="Times New Roman" w:cs="Times New Roman"/>
          <w:sz w:val="20"/>
          <w:szCs w:val="20"/>
        </w:rPr>
        <w:fldChar w:fldCharType="begin" w:fldLock="1"/>
      </w:r>
      <w:r w:rsidR="0010637B" w:rsidRPr="0062425D">
        <w:rPr>
          <w:rFonts w:ascii="Times New Roman" w:hAnsi="Times New Roman" w:cs="Times New Roman"/>
          <w:sz w:val="20"/>
          <w:szCs w:val="20"/>
        </w:rPr>
        <w:instrText>ADDIN CSL_CITATION {"citationItems":[{"id":"ITEM-1","itemData":{"URL":"https://fjp-law.com/id/kewenangan-pengadilan-tata-usaha-negara/#:~:text=PTUN memiliki kewenangan untuk memeriksa,di tingkat pusat maupun daerah.","accessed":{"date-parts":[["2022","1","23"]]},"author":[{"dropping-particle":"","family":"FJP Law Offices","given":"","non-dropping-particle":"","parse-names":false,"suffix":""}],"id":"ITEM-1","issued":{"date-parts":[["2020"]]},"title":"Kewenangan Pengadilan Tata Usaha Negara","type":"webpage"},"uris":["http://www.mendeley.com/documents/?uuid=b6511ef4-5504-4726-96e9-9eddcd121644","http://www.mendeley.com/documents/?uuid=e30b3cb4-acce-4fc8-a7c5-3637ea882c20"]}],"mendeley":{"formattedCitation":"(FJP Law Offices 2020)","plainTextFormattedCitation":"(FJP Law Offices 2020)","previouslyFormattedCitation":"(FJP Law Offices 2020)"},"properties":{"noteIndex":0},"schema":"https://github.com/citation-style-language/schema/raw/master/csl-citation.json"}</w:instrText>
      </w:r>
      <w:r w:rsidR="0010637B" w:rsidRPr="0062425D">
        <w:rPr>
          <w:rFonts w:ascii="Times New Roman" w:hAnsi="Times New Roman" w:cs="Times New Roman"/>
          <w:sz w:val="20"/>
          <w:szCs w:val="20"/>
        </w:rPr>
        <w:fldChar w:fldCharType="separate"/>
      </w:r>
      <w:r w:rsidR="0010637B" w:rsidRPr="0062425D">
        <w:rPr>
          <w:rFonts w:ascii="Times New Roman" w:hAnsi="Times New Roman" w:cs="Times New Roman"/>
          <w:noProof/>
          <w:sz w:val="20"/>
          <w:szCs w:val="20"/>
        </w:rPr>
        <w:t>(FJP Law Offices 2020)</w:t>
      </w:r>
      <w:r w:rsidR="0010637B" w:rsidRPr="0062425D">
        <w:rPr>
          <w:rFonts w:ascii="Times New Roman" w:hAnsi="Times New Roman" w:cs="Times New Roman"/>
          <w:sz w:val="20"/>
          <w:szCs w:val="20"/>
        </w:rPr>
        <w:fldChar w:fldCharType="end"/>
      </w:r>
      <w:r w:rsidR="0010637B" w:rsidRPr="0062425D">
        <w:rPr>
          <w:rFonts w:ascii="Times New Roman" w:hAnsi="Times New Roman" w:cs="Times New Roman"/>
          <w:sz w:val="20"/>
          <w:szCs w:val="20"/>
        </w:rPr>
        <w:t xml:space="preserve">. </w:t>
      </w:r>
    </w:p>
    <w:p w14:paraId="13D2537C" w14:textId="4B37AE45" w:rsidR="0010637B" w:rsidRPr="0062425D" w:rsidRDefault="0010637B" w:rsidP="0062425D">
      <w:pPr>
        <w:pStyle w:val="PH3"/>
        <w:spacing w:line="276" w:lineRule="auto"/>
        <w:ind w:left="709"/>
        <w:rPr>
          <w:rFonts w:ascii="Times New Roman" w:hAnsi="Times New Roman" w:cs="Times New Roman"/>
          <w:sz w:val="20"/>
          <w:szCs w:val="20"/>
        </w:rPr>
      </w:pPr>
      <w:r w:rsidRPr="0062425D">
        <w:rPr>
          <w:rFonts w:ascii="Times New Roman" w:hAnsi="Times New Roman" w:cs="Times New Roman"/>
          <w:sz w:val="20"/>
          <w:szCs w:val="20"/>
          <w:lang w:val="en-US"/>
        </w:rPr>
        <w:t xml:space="preserve">Jika disandingkan dengan kewenangan peradilan umum untuk mengadili objek sengketa berupa sertifikat hak atas tanah, maka perlu </w:t>
      </w:r>
      <w:r w:rsidRPr="0062425D">
        <w:rPr>
          <w:rFonts w:ascii="Times New Roman" w:hAnsi="Times New Roman" w:cs="Times New Roman"/>
          <w:sz w:val="20"/>
          <w:szCs w:val="20"/>
          <w:lang w:val="en-US"/>
        </w:rPr>
        <w:lastRenderedPageBreak/>
        <w:t xml:space="preserve">melihat titik singgung kewenangan peradilan terlebih dahulu. </w:t>
      </w:r>
      <w:r w:rsidRPr="0062425D">
        <w:rPr>
          <w:rFonts w:ascii="Times New Roman" w:hAnsi="Times New Roman" w:cs="Times New Roman"/>
          <w:sz w:val="20"/>
          <w:szCs w:val="20"/>
        </w:rPr>
        <w:t>Dalam konteks pertanahan, kompetensi absolut P</w:t>
      </w:r>
      <w:r w:rsidRPr="0062425D">
        <w:rPr>
          <w:rFonts w:ascii="Times New Roman" w:hAnsi="Times New Roman" w:cs="Times New Roman"/>
          <w:sz w:val="20"/>
          <w:szCs w:val="20"/>
          <w:lang w:val="en-US"/>
        </w:rPr>
        <w:t>TUN</w:t>
      </w:r>
      <w:r w:rsidRPr="0062425D">
        <w:rPr>
          <w:rFonts w:ascii="Times New Roman" w:hAnsi="Times New Roman" w:cs="Times New Roman"/>
          <w:sz w:val="20"/>
          <w:szCs w:val="20"/>
        </w:rPr>
        <w:t xml:space="preserve"> dalam suatu sertifikat pertanahan </w:t>
      </w:r>
      <w:r w:rsidR="00B15D8D" w:rsidRPr="0062425D">
        <w:rPr>
          <w:rFonts w:ascii="Times New Roman" w:hAnsi="Times New Roman" w:cs="Times New Roman"/>
          <w:sz w:val="20"/>
          <w:szCs w:val="20"/>
        </w:rPr>
        <w:t>ialah</w:t>
      </w:r>
      <w:r w:rsidRPr="0062425D">
        <w:rPr>
          <w:rFonts w:ascii="Times New Roman" w:hAnsi="Times New Roman" w:cs="Times New Roman"/>
          <w:sz w:val="20"/>
          <w:szCs w:val="20"/>
        </w:rPr>
        <w:t xml:space="preserve"> menyelesaikannya sengketa-sengketa </w:t>
      </w:r>
      <w:r w:rsidR="00B15D8D" w:rsidRPr="0062425D">
        <w:rPr>
          <w:rFonts w:ascii="Times New Roman" w:hAnsi="Times New Roman" w:cs="Times New Roman"/>
          <w:sz w:val="20"/>
          <w:szCs w:val="20"/>
        </w:rPr>
        <w:t>yang berkaitan dengan</w:t>
      </w:r>
      <w:r w:rsidRPr="0062425D">
        <w:rPr>
          <w:rFonts w:ascii="Times New Roman" w:hAnsi="Times New Roman" w:cs="Times New Roman"/>
          <w:sz w:val="20"/>
          <w:szCs w:val="20"/>
        </w:rPr>
        <w:t xml:space="preserve"> </w:t>
      </w:r>
      <w:r w:rsidR="00B15D8D" w:rsidRPr="0062425D">
        <w:rPr>
          <w:rFonts w:ascii="Times New Roman" w:hAnsi="Times New Roman" w:cs="Times New Roman"/>
          <w:sz w:val="20"/>
          <w:szCs w:val="20"/>
        </w:rPr>
        <w:t xml:space="preserve">ke absahan data fisik, </w:t>
      </w:r>
      <w:r w:rsidRPr="0062425D">
        <w:rPr>
          <w:rFonts w:ascii="Times New Roman" w:hAnsi="Times New Roman" w:cs="Times New Roman"/>
          <w:sz w:val="20"/>
          <w:szCs w:val="20"/>
        </w:rPr>
        <w:t xml:space="preserve">data yuridisnya </w:t>
      </w:r>
      <w:r w:rsidR="00B15D8D" w:rsidRPr="0062425D">
        <w:rPr>
          <w:rFonts w:ascii="Times New Roman" w:hAnsi="Times New Roman" w:cs="Times New Roman"/>
          <w:sz w:val="20"/>
          <w:szCs w:val="20"/>
        </w:rPr>
        <w:t>serta</w:t>
      </w:r>
      <w:r w:rsidRPr="0062425D">
        <w:rPr>
          <w:rFonts w:ascii="Times New Roman" w:hAnsi="Times New Roman" w:cs="Times New Roman"/>
          <w:sz w:val="20"/>
          <w:szCs w:val="20"/>
        </w:rPr>
        <w:t xml:space="preserve"> </w:t>
      </w:r>
      <w:r w:rsidR="00B15D8D" w:rsidRPr="0062425D">
        <w:rPr>
          <w:rFonts w:ascii="Times New Roman" w:hAnsi="Times New Roman" w:cs="Times New Roman"/>
          <w:sz w:val="20"/>
          <w:szCs w:val="20"/>
        </w:rPr>
        <w:t>tergolong</w:t>
      </w:r>
      <w:r w:rsidRPr="0062425D">
        <w:rPr>
          <w:rFonts w:ascii="Times New Roman" w:hAnsi="Times New Roman" w:cs="Times New Roman"/>
          <w:sz w:val="20"/>
          <w:szCs w:val="20"/>
        </w:rPr>
        <w:t xml:space="preserve"> jenis keputusan konstitutif. </w:t>
      </w:r>
      <w:r w:rsidR="00B15D8D" w:rsidRPr="0062425D">
        <w:rPr>
          <w:rFonts w:ascii="Times New Roman" w:hAnsi="Times New Roman" w:cs="Times New Roman"/>
          <w:sz w:val="20"/>
          <w:szCs w:val="20"/>
        </w:rPr>
        <w:t>Apabila</w:t>
      </w:r>
      <w:r w:rsidRPr="0062425D">
        <w:rPr>
          <w:rFonts w:ascii="Times New Roman" w:hAnsi="Times New Roman" w:cs="Times New Roman"/>
          <w:sz w:val="20"/>
          <w:szCs w:val="20"/>
        </w:rPr>
        <w:t xml:space="preserve"> suatu keputusan TUN </w:t>
      </w:r>
      <w:r w:rsidR="00B15D8D" w:rsidRPr="0062425D">
        <w:rPr>
          <w:rFonts w:ascii="Times New Roman" w:hAnsi="Times New Roman" w:cs="Times New Roman"/>
          <w:sz w:val="20"/>
          <w:szCs w:val="20"/>
        </w:rPr>
        <w:t>bersifat atau berkarakter</w:t>
      </w:r>
      <w:r w:rsidRPr="0062425D">
        <w:rPr>
          <w:rFonts w:ascii="Times New Roman" w:hAnsi="Times New Roman" w:cs="Times New Roman"/>
          <w:sz w:val="20"/>
          <w:szCs w:val="20"/>
        </w:rPr>
        <w:t xml:space="preserve"> deklaratif </w:t>
      </w:r>
      <w:r w:rsidR="00B15D8D" w:rsidRPr="0062425D">
        <w:rPr>
          <w:rFonts w:ascii="Times New Roman" w:hAnsi="Times New Roman" w:cs="Times New Roman"/>
          <w:sz w:val="20"/>
          <w:szCs w:val="20"/>
        </w:rPr>
        <w:t>dapat</w:t>
      </w:r>
      <w:r w:rsidRPr="0062425D">
        <w:rPr>
          <w:rFonts w:ascii="Times New Roman" w:hAnsi="Times New Roman" w:cs="Times New Roman"/>
          <w:sz w:val="20"/>
          <w:szCs w:val="20"/>
        </w:rPr>
        <w:t xml:space="preserve"> di gugat di peradilan TUN sepanjang keputusan deklaratif itu dinyatakan tidak memiliki kekuatan hukum oleh hakim perdata atau oleh hakim pidana</w:t>
      </w:r>
      <w:r w:rsidRPr="0062425D">
        <w:rPr>
          <w:rFonts w:ascii="Times New Roman" w:hAnsi="Times New Roman" w:cs="Times New Roman"/>
          <w:sz w:val="20"/>
          <w:szCs w:val="20"/>
          <w:lang w:val="en-US"/>
        </w:rPr>
        <w:t xml:space="preserve"> </w:t>
      </w:r>
      <w:r w:rsidRPr="0062425D">
        <w:rPr>
          <w:rFonts w:ascii="Times New Roman" w:hAnsi="Times New Roman" w:cs="Times New Roman"/>
          <w:sz w:val="20"/>
          <w:szCs w:val="20"/>
          <w:lang w:val="en-US"/>
        </w:rPr>
        <w:fldChar w:fldCharType="begin" w:fldLock="1"/>
      </w:r>
      <w:r w:rsidRPr="0062425D">
        <w:rPr>
          <w:rFonts w:ascii="Times New Roman" w:hAnsi="Times New Roman" w:cs="Times New Roman"/>
          <w:sz w:val="20"/>
          <w:szCs w:val="20"/>
          <w:lang w:val="en-US"/>
        </w:rPr>
        <w:instrText>ADDIN CSL_CITATION {"citationItems":[{"id":"ITEM-1","itemData":{"DOI":"10.22225/ah.2.1.1604.27-31","ISSN":"2716-2672","abstract":"Abstract-Indonesia's natural resources are very useful to meet the needs of their people, one of the most important needs is land. But land often causes disputes among the people, a fair settlement, in accordance with the applicable administration is highly expected. The formulation of the problem in this study is how the absolute competence of the State Administrative Court and General Courts related to the tangent point in land disputes and how to consider the Denpasar State Administrative Court Judges in dropping the Decision regarding the tangency point of authority of the State Administrative Court and District Court case study No. verdict 27 / G / 2017 / PTUN.DPS. This study uses normative legal research, StatuteApproach, Conceptual Approach and case approach. The State Administrative Court and the General Court (Civil) have competencies that intersect in land disputes. To certify land that has something to do with customary land in Bali as well as village land (AYDS), it is regulated at the Provincial Government of Bali number: 3 of 2011 concerning Pakramman village. Which in order to be able to certify a land of Ayahan Desa (AYDS) that the community wants to ask for has not been permitted, this is done so that Adat and Balinese culture remain steady and sustainable. The customary land in Bali is inseparable from the obligation to pay for or give services to the village, therefore for village karma it is prohibited to trade and buy it.\r Keywords: Land dispute, competence authority of the judge\r \r \r Abstrak-Sumber daya alam Indonesia sangat bermanfaat untuk memenuhi kebutuhan hidup masyarakatnya salah satu kebutuhan yang sangat penting adalah tanah. Namun tanah sering menimbulkan sengketa di kalangan masyarakat, penyelesaian yang adil, sesuai dengan administrasi yang berlaku sangat diharapkan. Rumusan masalah dalam penelitian ini bagaimana kompetensi absolut Peradilan Tata Usaha Negara dan Peradilan Umum terkait titik singgung dalam sengketa pertanahan dan Bagaimana pertimbangan Hakim Pengadilan Tata Usaha Negara Denpasar dalam menjatuhkan Putusan terkait titik singgung kewenangan Pengadilan Tata Usaha Negara dan Pengadilan Negeri studi kasus putusan nomor 27/G/2017/PTUN.DPS. Penelitian ini menggunakan penelitian hukum normatif, pendekatan Perundang-Undangan, pendekatan konseptual dan pendekatan kasus. Pengadilan Tata Usaha Negara dan Pengadilan Umum (Perdata) mempunyai kompetensi yang bersinggungan dalam sengketa pertanahan. Untuk mensertifikatka…","author":[{"dropping-particle":"","family":"Pramana","given":"I Gede Aris Eka","non-dropping-particle":"","parse-names":false,"suffix":""},{"dropping-particle":"","family":"Arjaya","given":"I Made","non-dropping-particle":"","parse-names":false,"suffix":""},{"dropping-particle":"","family":"Widiati","given":"Ida Ayu Putu","non-dropping-particle":"","parse-names":false,"suffix":""}],"container-title":"Jurnal Analogi Hukum","id":"ITEM-1","issue":"1","issued":{"date-parts":[["2020"]]},"page":"27-31","title":"Kompetensi Absolut Peradilan Tata Usaha Negara Terkait Titik Singgung Antara Peradilan Tata Usaha Negara dan Peradilan Umum dalam Sengketa Pertanahan","type":"article-journal","volume":"2"},"uris":["http://www.mendeley.com/documents/?uuid=d2aebc5a-5ba5-45fe-973b-f88d5460b1ca","http://www.mendeley.com/documents/?uuid=43a1bf58-77bc-4583-8cb1-e838ef386e2c"]}],"mendeley":{"formattedCitation":"(Pramana, Arjaya, and Widiati 2020)","plainTextFormattedCitation":"(Pramana, Arjaya, and Widiati 2020)","previouslyFormattedCitation":"(Pramana, Arjaya, and Widiati 2020)"},"properties":{"noteIndex":0},"schema":"https://github.com/citation-style-language/schema/raw/master/csl-citation.json"}</w:instrText>
      </w:r>
      <w:r w:rsidRPr="0062425D">
        <w:rPr>
          <w:rFonts w:ascii="Times New Roman" w:hAnsi="Times New Roman" w:cs="Times New Roman"/>
          <w:sz w:val="20"/>
          <w:szCs w:val="20"/>
          <w:lang w:val="en-US"/>
        </w:rPr>
        <w:fldChar w:fldCharType="separate"/>
      </w:r>
      <w:r w:rsidRPr="0062425D">
        <w:rPr>
          <w:rFonts w:ascii="Times New Roman" w:hAnsi="Times New Roman" w:cs="Times New Roman"/>
          <w:noProof/>
          <w:sz w:val="20"/>
          <w:szCs w:val="20"/>
          <w:lang w:val="en-US"/>
        </w:rPr>
        <w:t>(Pramana, Arjaya, and Widiati 2020)</w:t>
      </w:r>
      <w:r w:rsidRPr="0062425D">
        <w:rPr>
          <w:rFonts w:ascii="Times New Roman" w:hAnsi="Times New Roman" w:cs="Times New Roman"/>
          <w:sz w:val="20"/>
          <w:szCs w:val="20"/>
          <w:lang w:val="en-US"/>
        </w:rPr>
        <w:fldChar w:fldCharType="end"/>
      </w:r>
      <w:r w:rsidRPr="0062425D">
        <w:rPr>
          <w:rFonts w:ascii="Times New Roman" w:hAnsi="Times New Roman" w:cs="Times New Roman"/>
          <w:sz w:val="20"/>
          <w:szCs w:val="20"/>
        </w:rPr>
        <w:t>.</w:t>
      </w:r>
      <w:r w:rsidRPr="0062425D">
        <w:rPr>
          <w:rFonts w:ascii="Times New Roman" w:hAnsi="Times New Roman" w:cs="Times New Roman"/>
          <w:sz w:val="20"/>
          <w:szCs w:val="20"/>
          <w:lang w:val="en-US"/>
        </w:rPr>
        <w:t xml:space="preserve"> </w:t>
      </w:r>
      <w:r w:rsidRPr="0062425D">
        <w:rPr>
          <w:rFonts w:ascii="Times New Roman" w:hAnsi="Times New Roman" w:cs="Times New Roman"/>
          <w:sz w:val="20"/>
          <w:szCs w:val="20"/>
        </w:rPr>
        <w:t xml:space="preserve">Esensi putusan perdata mengenai pembatalan sertifikat </w:t>
      </w:r>
      <w:r w:rsidR="00B15D8D" w:rsidRPr="0062425D">
        <w:rPr>
          <w:rFonts w:ascii="Times New Roman" w:hAnsi="Times New Roman" w:cs="Times New Roman"/>
          <w:sz w:val="20"/>
          <w:szCs w:val="20"/>
        </w:rPr>
        <w:t>HAT</w:t>
      </w:r>
      <w:r w:rsidRPr="0062425D">
        <w:rPr>
          <w:rFonts w:ascii="Times New Roman" w:hAnsi="Times New Roman" w:cs="Times New Roman"/>
          <w:sz w:val="20"/>
          <w:szCs w:val="20"/>
        </w:rPr>
        <w:t xml:space="preserve">, lebih kepada aspek kepemilikan </w:t>
      </w:r>
      <w:r w:rsidR="00B15D8D" w:rsidRPr="0062425D">
        <w:rPr>
          <w:rFonts w:ascii="Times New Roman" w:hAnsi="Times New Roman" w:cs="Times New Roman"/>
          <w:sz w:val="20"/>
          <w:szCs w:val="20"/>
        </w:rPr>
        <w:t>HAT</w:t>
      </w:r>
      <w:r w:rsidRPr="0062425D">
        <w:rPr>
          <w:rFonts w:ascii="Times New Roman" w:hAnsi="Times New Roman" w:cs="Times New Roman"/>
          <w:sz w:val="20"/>
          <w:szCs w:val="20"/>
        </w:rPr>
        <w:t xml:space="preserve"> dengan tidak mengambil alih wewenang administrasi tersebut </w:t>
      </w:r>
      <w:r w:rsidRPr="0062425D">
        <w:rPr>
          <w:rFonts w:ascii="Times New Roman" w:hAnsi="Times New Roman" w:cs="Times New Roman"/>
          <w:sz w:val="20"/>
          <w:szCs w:val="20"/>
        </w:rPr>
        <w:fldChar w:fldCharType="begin" w:fldLock="1"/>
      </w:r>
      <w:r w:rsidRPr="0062425D">
        <w:rPr>
          <w:rFonts w:ascii="Times New Roman" w:hAnsi="Times New Roman" w:cs="Times New Roman"/>
          <w:sz w:val="20"/>
          <w:szCs w:val="20"/>
        </w:rPr>
        <w:instrText>ADDIN CSL_CITATION {"citationItems":[{"id":"ITEM-1","itemData":{"author":[{"dropping-particle":"","family":"Sangadji","given":"Z. A.","non-dropping-particle":"","parse-names":false,"suffix":""}],"id":"ITEM-1","issued":{"date-parts":[["2003"]]},"publisher":"PT. Citra Aditya Bakti","publisher-place":"Bandung","title":"Kompetensi Badan Peradilan Umum dan Peradilan Tata usaha Negara, Dalam Gugatan Pembatalan Sertipikat Tanah","type":"book"},"uris":["http://www.mendeley.com/documents/?uuid=f65d182a-97a8-473a-9209-36d7f8d4fa0a","http://www.mendeley.com/documents/?uuid=c5a65b6b-f189-493a-9777-8e21a2b7774d"]}],"mendeley":{"formattedCitation":"(Sangadji 2003)","plainTextFormattedCitation":"(Sangadji 2003)","previouslyFormattedCitation":"(Sangadji 2003)"},"properties":{"noteIndex":0},"schema":"https://github.com/citation-style-language/schema/raw/master/csl-citation.json"}</w:instrText>
      </w:r>
      <w:r w:rsidRPr="0062425D">
        <w:rPr>
          <w:rFonts w:ascii="Times New Roman" w:hAnsi="Times New Roman" w:cs="Times New Roman"/>
          <w:sz w:val="20"/>
          <w:szCs w:val="20"/>
        </w:rPr>
        <w:fldChar w:fldCharType="separate"/>
      </w:r>
      <w:r w:rsidRPr="0062425D">
        <w:rPr>
          <w:rFonts w:ascii="Times New Roman" w:hAnsi="Times New Roman" w:cs="Times New Roman"/>
          <w:noProof/>
          <w:sz w:val="20"/>
          <w:szCs w:val="20"/>
        </w:rPr>
        <w:t>(Sangadji 2003)</w:t>
      </w:r>
      <w:r w:rsidRPr="0062425D">
        <w:rPr>
          <w:rFonts w:ascii="Times New Roman" w:hAnsi="Times New Roman" w:cs="Times New Roman"/>
          <w:sz w:val="20"/>
          <w:szCs w:val="20"/>
        </w:rPr>
        <w:fldChar w:fldCharType="end"/>
      </w:r>
      <w:r w:rsidRPr="0062425D">
        <w:rPr>
          <w:rFonts w:ascii="Times New Roman" w:hAnsi="Times New Roman" w:cs="Times New Roman"/>
          <w:sz w:val="20"/>
          <w:szCs w:val="20"/>
          <w:lang w:val="en-US"/>
        </w:rPr>
        <w:t>.</w:t>
      </w:r>
      <w:r w:rsidRPr="0062425D">
        <w:rPr>
          <w:rFonts w:ascii="Times New Roman" w:hAnsi="Times New Roman" w:cs="Times New Roman"/>
          <w:sz w:val="20"/>
          <w:szCs w:val="20"/>
        </w:rPr>
        <w:t xml:space="preserve"> </w:t>
      </w:r>
      <w:r w:rsidR="00B15D8D" w:rsidRPr="0062425D">
        <w:rPr>
          <w:rFonts w:ascii="Times New Roman" w:hAnsi="Times New Roman" w:cs="Times New Roman"/>
          <w:sz w:val="20"/>
          <w:szCs w:val="20"/>
        </w:rPr>
        <w:t>Sehingga</w:t>
      </w:r>
      <w:r w:rsidR="004C25EC" w:rsidRPr="0062425D">
        <w:rPr>
          <w:rFonts w:ascii="Times New Roman" w:hAnsi="Times New Roman" w:cs="Times New Roman"/>
          <w:sz w:val="20"/>
          <w:szCs w:val="20"/>
        </w:rPr>
        <w:t>,</w:t>
      </w:r>
      <w:r w:rsidRPr="0062425D">
        <w:rPr>
          <w:rFonts w:ascii="Times New Roman" w:hAnsi="Times New Roman" w:cs="Times New Roman"/>
          <w:sz w:val="20"/>
          <w:szCs w:val="20"/>
        </w:rPr>
        <w:t xml:space="preserve"> putusan</w:t>
      </w:r>
      <w:r w:rsidRPr="0062425D">
        <w:rPr>
          <w:rFonts w:ascii="Times New Roman" w:hAnsi="Times New Roman" w:cs="Times New Roman"/>
          <w:sz w:val="20"/>
          <w:szCs w:val="20"/>
          <w:lang w:val="en-US"/>
        </w:rPr>
        <w:t xml:space="preserve"> </w:t>
      </w:r>
      <w:r w:rsidRPr="0062425D">
        <w:rPr>
          <w:rFonts w:ascii="Times New Roman" w:hAnsi="Times New Roman" w:cs="Times New Roman"/>
          <w:sz w:val="20"/>
          <w:szCs w:val="20"/>
        </w:rPr>
        <w:t xml:space="preserve">perdata harus menghindari penggunaan amar putusan: “menyatakan batal atau membatalkan sertifikat tanah”. </w:t>
      </w:r>
    </w:p>
    <w:p w14:paraId="3A04E37F" w14:textId="0208DF83" w:rsidR="0010637B" w:rsidRPr="0062425D" w:rsidRDefault="0010637B" w:rsidP="0062425D">
      <w:pPr>
        <w:pStyle w:val="PH3"/>
        <w:spacing w:line="276" w:lineRule="auto"/>
        <w:ind w:left="709"/>
        <w:rPr>
          <w:rFonts w:ascii="Times New Roman" w:hAnsi="Times New Roman" w:cs="Times New Roman"/>
          <w:sz w:val="20"/>
          <w:szCs w:val="20"/>
        </w:rPr>
      </w:pPr>
      <w:r w:rsidRPr="0062425D">
        <w:rPr>
          <w:rFonts w:ascii="Times New Roman" w:hAnsi="Times New Roman" w:cs="Times New Roman"/>
          <w:sz w:val="20"/>
          <w:szCs w:val="20"/>
        </w:rPr>
        <w:t xml:space="preserve">Dengan demikian, </w:t>
      </w:r>
      <w:r w:rsidR="00B15D8D" w:rsidRPr="0062425D">
        <w:rPr>
          <w:rFonts w:ascii="Times New Roman" w:hAnsi="Times New Roman" w:cs="Times New Roman"/>
          <w:sz w:val="20"/>
          <w:szCs w:val="20"/>
        </w:rPr>
        <w:t>pendapat</w:t>
      </w:r>
      <w:r w:rsidRPr="0062425D">
        <w:rPr>
          <w:rFonts w:ascii="Times New Roman" w:hAnsi="Times New Roman" w:cs="Times New Roman"/>
          <w:sz w:val="20"/>
          <w:szCs w:val="20"/>
        </w:rPr>
        <w:t xml:space="preserve"> Z.A. Sangaji tersebut, dapat dimaknai bahwa apabila hakim perdata sudah menyatakan suatu sertifikat tidak memiliki kekuatan hukum, maka si pemenang gugatan harus mengajukan permohonan pembatalan kepada BPN untuk membatalkan sertifikat tersebut berdasarkan putusan Pengadilan. Kewenangan untuk melakukan koreksi terhadap suatu keputusan TUN di bidang pertanahan (sertipikat/Surat Keputusan Pemberian </w:t>
      </w:r>
      <w:r w:rsidR="00B15D8D" w:rsidRPr="0062425D">
        <w:rPr>
          <w:rFonts w:ascii="Times New Roman" w:hAnsi="Times New Roman" w:cs="Times New Roman"/>
          <w:sz w:val="20"/>
          <w:szCs w:val="20"/>
        </w:rPr>
        <w:t>HAT</w:t>
      </w:r>
      <w:r w:rsidRPr="0062425D">
        <w:rPr>
          <w:rFonts w:ascii="Times New Roman" w:hAnsi="Times New Roman" w:cs="Times New Roman"/>
          <w:sz w:val="20"/>
          <w:szCs w:val="20"/>
        </w:rPr>
        <w:t>), hanya ada pada Kepala BPN. Dengan demikian dapat dipedomani bahwa kewenangan hakim perdata dalam sengketa pertanahan apabila menyangkut dan berkaitan dengan penerbitan suatu sertifikat sebagai bukti hak atas tanah adalah hanya menguji aspek substansi dari suatu serti</w:t>
      </w:r>
      <w:r w:rsidRPr="0062425D">
        <w:rPr>
          <w:rFonts w:ascii="Times New Roman" w:hAnsi="Times New Roman" w:cs="Times New Roman"/>
          <w:sz w:val="20"/>
          <w:szCs w:val="20"/>
          <w:lang w:val="en-US"/>
        </w:rPr>
        <w:t>f</w:t>
      </w:r>
      <w:r w:rsidRPr="0062425D">
        <w:rPr>
          <w:rFonts w:ascii="Times New Roman" w:hAnsi="Times New Roman" w:cs="Times New Roman"/>
          <w:sz w:val="20"/>
          <w:szCs w:val="20"/>
        </w:rPr>
        <w:t>ikat. Sedangkan kewenangan Hakim Peratun adalah menguji aspek prosedural, kewenangan dan sampai tingkat tertentu menguji aspek substansi</w:t>
      </w:r>
      <w:r w:rsidRPr="0062425D">
        <w:rPr>
          <w:rFonts w:ascii="Times New Roman" w:hAnsi="Times New Roman" w:cs="Times New Roman"/>
          <w:sz w:val="20"/>
          <w:szCs w:val="20"/>
          <w:lang w:val="en-US"/>
        </w:rPr>
        <w:t>.</w:t>
      </w:r>
    </w:p>
    <w:p w14:paraId="49B34CF8" w14:textId="1CB4D4C7" w:rsidR="00E71B09" w:rsidRPr="0062425D" w:rsidRDefault="0010637B" w:rsidP="0062425D">
      <w:pPr>
        <w:pStyle w:val="PH3"/>
        <w:spacing w:line="276" w:lineRule="auto"/>
        <w:ind w:left="709"/>
        <w:rPr>
          <w:rFonts w:ascii="Times New Roman" w:hAnsi="Times New Roman" w:cs="Times New Roman"/>
          <w:sz w:val="20"/>
          <w:szCs w:val="20"/>
        </w:rPr>
      </w:pPr>
      <w:r w:rsidRPr="0062425D">
        <w:rPr>
          <w:rFonts w:ascii="Times New Roman" w:hAnsi="Times New Roman" w:cs="Times New Roman"/>
          <w:sz w:val="20"/>
          <w:szCs w:val="20"/>
          <w:lang w:val="en-US"/>
        </w:rPr>
        <w:t>Putusan No.41/G/2018/PTUN.SMD pada tingkat pertama telah sesuai dengan kaidah titik singgung kompetensi peradilan karena dalam sengketa tersebut yang disengketakan merupakan prosedur penerbitan dari Sertifikat Hak Guna Bangungan (SHGU)</w:t>
      </w:r>
      <w:r w:rsidR="004C25EC" w:rsidRPr="0062425D">
        <w:rPr>
          <w:rFonts w:ascii="Times New Roman" w:hAnsi="Times New Roman" w:cs="Times New Roman"/>
          <w:sz w:val="20"/>
          <w:szCs w:val="20"/>
          <w:lang w:val="en-US"/>
        </w:rPr>
        <w:t xml:space="preserve"> No. 116/Desa Gunung Sari dan Ri</w:t>
      </w:r>
      <w:r w:rsidRPr="0062425D">
        <w:rPr>
          <w:rFonts w:ascii="Times New Roman" w:hAnsi="Times New Roman" w:cs="Times New Roman"/>
          <w:sz w:val="20"/>
          <w:szCs w:val="20"/>
          <w:lang w:val="en-US"/>
        </w:rPr>
        <w:t xml:space="preserve">ntan Baru Kecamatan Tabang, Kabupaten Kutai Kartanegara dan SHGU No. 147/Desa Buluksen, Kecamatan Tabang, Kabupaten Kutai. Kedua SHGU tersebut disengketakan karena menurut Penggugat diterbitkan bertumpang tindih dengan </w:t>
      </w:r>
      <w:r w:rsidRPr="0062425D">
        <w:rPr>
          <w:rFonts w:ascii="Times New Roman" w:hAnsi="Times New Roman" w:cs="Times New Roman"/>
          <w:sz w:val="20"/>
          <w:szCs w:val="20"/>
          <w:lang w:val="en-US"/>
        </w:rPr>
        <w:lastRenderedPageBreak/>
        <w:t>Izin Usaha Pertambangan Eksplorasi milik Penggugat.</w:t>
      </w:r>
    </w:p>
    <w:p w14:paraId="2DCEB8E4" w14:textId="77777777" w:rsidR="0010637B" w:rsidRPr="0062425D" w:rsidRDefault="0010637B" w:rsidP="0062425D">
      <w:pPr>
        <w:pStyle w:val="PH3"/>
        <w:spacing w:line="276" w:lineRule="auto"/>
        <w:ind w:left="709"/>
        <w:rPr>
          <w:rFonts w:ascii="Times New Roman" w:hAnsi="Times New Roman" w:cs="Times New Roman"/>
          <w:sz w:val="20"/>
          <w:szCs w:val="20"/>
        </w:rPr>
      </w:pPr>
    </w:p>
    <w:p w14:paraId="37887552" w14:textId="6436E840" w:rsidR="00E71B09" w:rsidRPr="0062425D" w:rsidRDefault="00E71B09" w:rsidP="0062425D">
      <w:pPr>
        <w:pStyle w:val="BodyText"/>
        <w:numPr>
          <w:ilvl w:val="0"/>
          <w:numId w:val="37"/>
        </w:numPr>
        <w:rPr>
          <w:lang w:val="id-ID"/>
        </w:rPr>
      </w:pPr>
      <w:r w:rsidRPr="0062425D">
        <w:rPr>
          <w:lang w:val="id-ID"/>
        </w:rPr>
        <w:t>Pertimbangan hakim mengenai tenggat waktu</w:t>
      </w:r>
    </w:p>
    <w:p w14:paraId="25DC9F0B" w14:textId="77777777" w:rsidR="0010637B" w:rsidRPr="0062425D" w:rsidRDefault="0010637B" w:rsidP="0062425D">
      <w:pPr>
        <w:pStyle w:val="PH2"/>
        <w:spacing w:line="276" w:lineRule="auto"/>
        <w:ind w:left="720" w:firstLine="556"/>
        <w:rPr>
          <w:rFonts w:ascii="Times New Roman" w:hAnsi="Times New Roman" w:cs="Times New Roman"/>
          <w:sz w:val="20"/>
          <w:szCs w:val="20"/>
        </w:rPr>
      </w:pPr>
      <w:r w:rsidRPr="0062425D">
        <w:rPr>
          <w:rFonts w:ascii="Times New Roman" w:hAnsi="Times New Roman" w:cs="Times New Roman"/>
          <w:sz w:val="20"/>
          <w:szCs w:val="20"/>
        </w:rPr>
        <w:t>Berpedoman pada Pasal 55 UU Peratun yang menyatakan bahwa:</w:t>
      </w:r>
    </w:p>
    <w:p w14:paraId="1BCE2E3B" w14:textId="02A1E40C" w:rsidR="0010637B" w:rsidRPr="0062425D" w:rsidRDefault="0010637B" w:rsidP="0062425D">
      <w:pPr>
        <w:pStyle w:val="PH2"/>
        <w:spacing w:line="276" w:lineRule="auto"/>
        <w:ind w:left="993" w:firstLine="0"/>
        <w:rPr>
          <w:rFonts w:ascii="Times New Roman" w:hAnsi="Times New Roman" w:cs="Times New Roman"/>
          <w:sz w:val="20"/>
          <w:szCs w:val="20"/>
        </w:rPr>
      </w:pPr>
      <w:r w:rsidRPr="0062425D">
        <w:rPr>
          <w:rFonts w:ascii="Times New Roman" w:hAnsi="Times New Roman" w:cs="Times New Roman"/>
          <w:sz w:val="20"/>
          <w:szCs w:val="20"/>
        </w:rPr>
        <w:t xml:space="preserve">“Gugatan dapat diajukan hanya dalam tenggang waktu </w:t>
      </w:r>
      <w:r w:rsidRPr="0062425D">
        <w:rPr>
          <w:rFonts w:ascii="Times New Roman" w:hAnsi="Times New Roman" w:cs="Times New Roman"/>
          <w:b/>
          <w:bCs/>
          <w:sz w:val="20"/>
          <w:szCs w:val="20"/>
        </w:rPr>
        <w:t>90 hari terhitung sejak diterimanya</w:t>
      </w:r>
      <w:r w:rsidRPr="0062425D">
        <w:rPr>
          <w:rFonts w:ascii="Times New Roman" w:hAnsi="Times New Roman" w:cs="Times New Roman"/>
          <w:sz w:val="20"/>
          <w:szCs w:val="20"/>
        </w:rPr>
        <w:t xml:space="preserve"> atau diumumkannya Keputusan Badan atau Pejabat Tata Usaha Negara.”</w:t>
      </w:r>
      <w:r w:rsidR="007471BC" w:rsidRPr="0062425D">
        <w:rPr>
          <w:rFonts w:ascii="Times New Roman" w:hAnsi="Times New Roman" w:cs="Times New Roman"/>
          <w:sz w:val="20"/>
          <w:szCs w:val="20"/>
        </w:rPr>
        <w:t xml:space="preserve"> </w:t>
      </w:r>
      <w:r w:rsidR="007471BC" w:rsidRPr="0062425D">
        <w:rPr>
          <w:rFonts w:ascii="Times New Roman" w:hAnsi="Times New Roman" w:cs="Times New Roman"/>
          <w:sz w:val="20"/>
          <w:szCs w:val="20"/>
        </w:rPr>
        <w:fldChar w:fldCharType="begin" w:fldLock="1"/>
      </w:r>
      <w:r w:rsidR="004D6FDF" w:rsidRPr="0062425D">
        <w:rPr>
          <w:rFonts w:ascii="Times New Roman" w:hAnsi="Times New Roman" w:cs="Times New Roman"/>
          <w:sz w:val="20"/>
          <w:szCs w:val="20"/>
        </w:rPr>
        <w:instrText>ADDIN CSL_CITATION {"citationItems":[{"id":"ITEM-1","itemData":{"author":[{"dropping-particle":"","family":"Indonesia","given":"","non-dropping-particle":"","parse-names":false,"suffix":""}],"id":"ITEM-1","issued":{"date-parts":[["1986"]]},"title":"Undang-Undang Nomor 5 Tahun 1986 tentang Pengadilan Tata Usaha Negara (LN No. 77 Tahun 1986)","type":"legislation"},"uris":["http://www.mendeley.com/documents/?uuid=0f690e21-fe59-4a5b-8286-612a01773d31"]}],"mendeley":{"formattedCitation":"(Indonesia 1986)","plainTextFormattedCitation":"(Indonesia 1986)","previouslyFormattedCitation":"(Indonesia 1986)"},"properties":{"noteIndex":0},"schema":"https://github.com/citation-style-language/schema/raw/master/csl-citation.json"}</w:instrText>
      </w:r>
      <w:r w:rsidR="007471BC" w:rsidRPr="0062425D">
        <w:rPr>
          <w:rFonts w:ascii="Times New Roman" w:hAnsi="Times New Roman" w:cs="Times New Roman"/>
          <w:sz w:val="20"/>
          <w:szCs w:val="20"/>
        </w:rPr>
        <w:fldChar w:fldCharType="separate"/>
      </w:r>
      <w:r w:rsidR="007471BC" w:rsidRPr="0062425D">
        <w:rPr>
          <w:rFonts w:ascii="Times New Roman" w:hAnsi="Times New Roman" w:cs="Times New Roman"/>
          <w:noProof/>
          <w:sz w:val="20"/>
          <w:szCs w:val="20"/>
        </w:rPr>
        <w:t>(Indonesia 1986)</w:t>
      </w:r>
      <w:r w:rsidR="007471BC" w:rsidRPr="0062425D">
        <w:rPr>
          <w:rFonts w:ascii="Times New Roman" w:hAnsi="Times New Roman" w:cs="Times New Roman"/>
          <w:sz w:val="20"/>
          <w:szCs w:val="20"/>
        </w:rPr>
        <w:fldChar w:fldCharType="end"/>
      </w:r>
    </w:p>
    <w:p w14:paraId="4FD060FA" w14:textId="77777777" w:rsidR="0010637B" w:rsidRPr="0062425D" w:rsidRDefault="0010637B" w:rsidP="0062425D">
      <w:pPr>
        <w:pStyle w:val="PH2"/>
        <w:spacing w:line="276" w:lineRule="auto"/>
        <w:ind w:left="709" w:firstLine="0"/>
        <w:rPr>
          <w:rFonts w:ascii="Times New Roman" w:hAnsi="Times New Roman" w:cs="Times New Roman"/>
          <w:sz w:val="20"/>
          <w:szCs w:val="20"/>
        </w:rPr>
      </w:pPr>
      <w:r w:rsidRPr="0062425D">
        <w:rPr>
          <w:rFonts w:ascii="Times New Roman" w:hAnsi="Times New Roman" w:cs="Times New Roman"/>
          <w:sz w:val="20"/>
          <w:szCs w:val="20"/>
        </w:rPr>
        <w:t xml:space="preserve">Ketentuan itu ditujukan kepada orang atau yang pihaknya tercantum dalam surat KTUN. Namun PT. BAS bukan subjek yang tercantum dalam SHGU yang menjadi objek sengketa maka berdasarkan </w:t>
      </w:r>
      <w:r w:rsidRPr="0062425D">
        <w:rPr>
          <w:rFonts w:ascii="Times New Roman" w:hAnsi="Times New Roman" w:cs="Times New Roman"/>
          <w:i/>
          <w:sz w:val="20"/>
          <w:szCs w:val="20"/>
        </w:rPr>
        <w:t>argumentum a contrario</w:t>
      </w:r>
      <w:r w:rsidRPr="0062425D">
        <w:rPr>
          <w:rFonts w:ascii="Times New Roman" w:hAnsi="Times New Roman" w:cs="Times New Roman"/>
          <w:sz w:val="20"/>
          <w:szCs w:val="20"/>
        </w:rPr>
        <w:t xml:space="preserve"> penjelasan Pasal 55 UU Peratun, Surat Edaran Mahkamah Agung No. 3 Tahun 2015  tentang pemberlakuan rumusan hasil rapat pleno Mahkamah Agung tahun 2015</w:t>
      </w:r>
      <w:r w:rsidRPr="0062425D">
        <w:rPr>
          <w:rFonts w:ascii="Times New Roman" w:hAnsi="Times New Roman" w:cs="Times New Roman"/>
          <w:sz w:val="20"/>
          <w:szCs w:val="20"/>
          <w:lang w:val="en-US"/>
        </w:rPr>
        <w:t xml:space="preserve"> (SEMA No.3/2015)</w:t>
      </w:r>
      <w:r w:rsidRPr="0062425D">
        <w:rPr>
          <w:rFonts w:ascii="Times New Roman" w:hAnsi="Times New Roman" w:cs="Times New Roman"/>
          <w:sz w:val="20"/>
          <w:szCs w:val="20"/>
        </w:rPr>
        <w:t xml:space="preserve"> sebagai pedoman pelaksanaan tugas bagi pengadilan  menyatakan bahwa:</w:t>
      </w:r>
    </w:p>
    <w:p w14:paraId="2FFA5025" w14:textId="3019E095" w:rsidR="0010637B" w:rsidRPr="0062425D" w:rsidRDefault="0010637B" w:rsidP="0062425D">
      <w:pPr>
        <w:pStyle w:val="PH2"/>
        <w:spacing w:line="276" w:lineRule="auto"/>
        <w:ind w:left="993" w:firstLine="0"/>
        <w:rPr>
          <w:rFonts w:ascii="Times New Roman" w:hAnsi="Times New Roman" w:cs="Times New Roman"/>
          <w:sz w:val="20"/>
          <w:szCs w:val="20"/>
        </w:rPr>
      </w:pPr>
      <w:r w:rsidRPr="0062425D">
        <w:rPr>
          <w:rFonts w:ascii="Times New Roman" w:hAnsi="Times New Roman" w:cs="Times New Roman"/>
          <w:sz w:val="20"/>
          <w:szCs w:val="20"/>
        </w:rPr>
        <w:t xml:space="preserve">“Tenggang waktu 90 hari untuk mengajukan gugatan bagi pihak ketiga yang tidak dituju oleh keputusan tata usaha negara sebagaimana dimaksud dalam Pasal 55 Undang-Undang Nomor 5 Tahun 1986 tentang Peradilan Tata Usaha Negara, yang semula dihitung </w:t>
      </w:r>
      <w:r w:rsidRPr="0062425D">
        <w:rPr>
          <w:rFonts w:ascii="Times New Roman" w:hAnsi="Times New Roman" w:cs="Times New Roman"/>
          <w:b/>
          <w:bCs/>
          <w:sz w:val="20"/>
          <w:szCs w:val="20"/>
        </w:rPr>
        <w:t>“sejak yang bersangkutan merasa kepentingannya dirugikan oleh keputusan tata usaha negara dan sudah mengetahui adanya keputusan tata usaha negara tersebut” diubah menjadi dihitung“</w:t>
      </w:r>
      <w:r w:rsidRPr="0062425D">
        <w:rPr>
          <w:rFonts w:ascii="Times New Roman" w:hAnsi="Times New Roman" w:cs="Times New Roman"/>
          <w:sz w:val="20"/>
          <w:szCs w:val="20"/>
        </w:rPr>
        <w:t>sejak yang bersangkutan pertama kali mengetahui keputusan tata usaha negara yang merugikan kepentingannya.”</w:t>
      </w:r>
      <w:r w:rsidR="004D6FDF" w:rsidRPr="0062425D">
        <w:rPr>
          <w:rFonts w:ascii="Times New Roman" w:hAnsi="Times New Roman" w:cs="Times New Roman"/>
          <w:sz w:val="20"/>
          <w:szCs w:val="20"/>
        </w:rPr>
        <w:t xml:space="preserve"> </w:t>
      </w:r>
      <w:r w:rsidR="004D6FDF" w:rsidRPr="0062425D">
        <w:rPr>
          <w:rFonts w:ascii="Times New Roman" w:hAnsi="Times New Roman" w:cs="Times New Roman"/>
          <w:sz w:val="20"/>
          <w:szCs w:val="20"/>
        </w:rPr>
        <w:fldChar w:fldCharType="begin" w:fldLock="1"/>
      </w:r>
      <w:r w:rsidR="004D6FDF" w:rsidRPr="0062425D">
        <w:rPr>
          <w:rFonts w:ascii="Times New Roman" w:hAnsi="Times New Roman" w:cs="Times New Roman"/>
          <w:sz w:val="20"/>
          <w:szCs w:val="20"/>
        </w:rPr>
        <w:instrText>ADDIN CSL_CITATION {"citationItems":[{"id":"ITEM-1","itemData":{"author":[{"dropping-particle":"","family":"Indonesia","given":"","non-dropping-particle":"","parse-names":false,"suffix":""}],"id":"ITEM-1","issued":{"date-parts":[["2015"]]},"title":"Surat Edaran Mahkamah Agung Nomor 3 Tahun 2015 tentang Pemberlakuan Rumusan Hasil Rapat Pleno Kamar Mahkamah Agung Tahun 2015 sebagai Pedoman Pelaksanaan Tugas bagi Pengadilan","type":"legislation"},"uris":["http://www.mendeley.com/documents/?uuid=84667229-74d0-47d5-b2e0-4f536b7a9c97"]}],"mendeley":{"formattedCitation":"(Indonesia 2015)","plainTextFormattedCitation":"(Indonesia 2015)","previouslyFormattedCitation":"(Indonesia 2015)"},"properties":{"noteIndex":0},"schema":"https://github.com/citation-style-language/schema/raw/master/csl-citation.json"}</w:instrText>
      </w:r>
      <w:r w:rsidR="004D6FDF" w:rsidRPr="0062425D">
        <w:rPr>
          <w:rFonts w:ascii="Times New Roman" w:hAnsi="Times New Roman" w:cs="Times New Roman"/>
          <w:sz w:val="20"/>
          <w:szCs w:val="20"/>
        </w:rPr>
        <w:fldChar w:fldCharType="separate"/>
      </w:r>
      <w:r w:rsidR="004D6FDF" w:rsidRPr="0062425D">
        <w:rPr>
          <w:rFonts w:ascii="Times New Roman" w:hAnsi="Times New Roman" w:cs="Times New Roman"/>
          <w:noProof/>
          <w:sz w:val="20"/>
          <w:szCs w:val="20"/>
        </w:rPr>
        <w:t>(Indonesia 2015)</w:t>
      </w:r>
      <w:r w:rsidR="004D6FDF" w:rsidRPr="0062425D">
        <w:rPr>
          <w:rFonts w:ascii="Times New Roman" w:hAnsi="Times New Roman" w:cs="Times New Roman"/>
          <w:sz w:val="20"/>
          <w:szCs w:val="20"/>
        </w:rPr>
        <w:fldChar w:fldCharType="end"/>
      </w:r>
    </w:p>
    <w:p w14:paraId="11FF1DDB" w14:textId="6E1B9D43" w:rsidR="0010637B" w:rsidRPr="0062425D" w:rsidRDefault="0010637B" w:rsidP="0062425D">
      <w:pPr>
        <w:pStyle w:val="PH2"/>
        <w:spacing w:line="276" w:lineRule="auto"/>
        <w:ind w:left="709" w:firstLine="0"/>
        <w:rPr>
          <w:rFonts w:ascii="Times New Roman" w:hAnsi="Times New Roman" w:cs="Times New Roman"/>
          <w:sz w:val="20"/>
          <w:szCs w:val="20"/>
        </w:rPr>
      </w:pPr>
      <w:r w:rsidRPr="0062425D">
        <w:rPr>
          <w:rFonts w:ascii="Times New Roman" w:hAnsi="Times New Roman" w:cs="Times New Roman"/>
          <w:sz w:val="20"/>
          <w:szCs w:val="20"/>
        </w:rPr>
        <w:t>Ketentuan SEMA No</w:t>
      </w:r>
      <w:r w:rsidRPr="0062425D">
        <w:rPr>
          <w:rFonts w:ascii="Times New Roman" w:hAnsi="Times New Roman" w:cs="Times New Roman"/>
          <w:sz w:val="20"/>
          <w:szCs w:val="20"/>
          <w:lang w:val="en-US"/>
        </w:rPr>
        <w:t xml:space="preserve">. 3/2015 </w:t>
      </w:r>
      <w:r w:rsidRPr="0062425D">
        <w:rPr>
          <w:rFonts w:ascii="Times New Roman" w:hAnsi="Times New Roman" w:cs="Times New Roman"/>
          <w:sz w:val="20"/>
          <w:szCs w:val="20"/>
        </w:rPr>
        <w:t>menggantikan ketentuan dalam SEMA No. 2 Tahun 1991, berdasarkan mana jangka waktu pengajuan gugatan terhadap pihak yang tidak dituju oleh KTUN adalah 90 (sembilan puluh) hari sejak pertama kali mengetahui KTUN yang dianggap merugikan kepentingannya tersebu</w:t>
      </w:r>
      <w:r w:rsidRPr="0062425D">
        <w:rPr>
          <w:rFonts w:ascii="Times New Roman" w:hAnsi="Times New Roman" w:cs="Times New Roman"/>
          <w:sz w:val="20"/>
          <w:szCs w:val="20"/>
          <w:lang w:val="en-US"/>
        </w:rPr>
        <w:t xml:space="preserve">t. </w:t>
      </w:r>
      <w:r w:rsidRPr="0062425D">
        <w:rPr>
          <w:rFonts w:ascii="Times New Roman" w:hAnsi="Times New Roman" w:cs="Times New Roman"/>
          <w:sz w:val="20"/>
          <w:szCs w:val="20"/>
        </w:rPr>
        <w:t xml:space="preserve">PT. BAS  mengetahui kepentingannya dirugikan pada tanggal 16 Agustus 2018 dan PT. BAS mengajukan gugatan terhadap kepentingan tersebut di </w:t>
      </w:r>
      <w:r w:rsidR="00B15D8D" w:rsidRPr="0062425D">
        <w:rPr>
          <w:rFonts w:ascii="Times New Roman" w:hAnsi="Times New Roman" w:cs="Times New Roman"/>
          <w:sz w:val="20"/>
          <w:szCs w:val="20"/>
        </w:rPr>
        <w:t>PTUN</w:t>
      </w:r>
      <w:r w:rsidRPr="0062425D">
        <w:rPr>
          <w:rFonts w:ascii="Times New Roman" w:hAnsi="Times New Roman" w:cs="Times New Roman"/>
          <w:sz w:val="20"/>
          <w:szCs w:val="20"/>
        </w:rPr>
        <w:t xml:space="preserve"> kota Samarinda pada tanggal 7 November 2018. Sehingga PT. BAS (penggugat) tidak melebihi batas waktu 90 hari yang telah diatur dalam ketentuan tersebut. </w:t>
      </w:r>
    </w:p>
    <w:p w14:paraId="179763CE" w14:textId="77777777" w:rsidR="0010637B" w:rsidRPr="0062425D" w:rsidRDefault="0010637B" w:rsidP="0062425D">
      <w:pPr>
        <w:pStyle w:val="BodyText"/>
        <w:ind w:left="720" w:firstLine="0"/>
        <w:rPr>
          <w:lang w:val="id-ID"/>
        </w:rPr>
      </w:pPr>
    </w:p>
    <w:p w14:paraId="5F5CE25D" w14:textId="1B6BF62A" w:rsidR="00AF6290" w:rsidRPr="0062425D" w:rsidRDefault="00E71B09" w:rsidP="0062425D">
      <w:pPr>
        <w:pStyle w:val="BodyText"/>
        <w:numPr>
          <w:ilvl w:val="0"/>
          <w:numId w:val="37"/>
        </w:numPr>
        <w:rPr>
          <w:lang w:val="id-ID"/>
        </w:rPr>
      </w:pPr>
      <w:r w:rsidRPr="0062425D">
        <w:rPr>
          <w:lang w:val="id-ID"/>
        </w:rPr>
        <w:lastRenderedPageBreak/>
        <w:t>Pertimbangan hakim mengenai kepentingan PT. BAS terhadap objek sengketa</w:t>
      </w:r>
      <w:r w:rsidR="00CB4635" w:rsidRPr="0062425D">
        <w:rPr>
          <w:lang w:val="id-ID"/>
        </w:rPr>
        <w:t xml:space="preserve"> </w:t>
      </w:r>
    </w:p>
    <w:p w14:paraId="51984C2F" w14:textId="55081B20" w:rsidR="00AF6290" w:rsidRPr="0062425D" w:rsidRDefault="00AF6290" w:rsidP="0062425D">
      <w:pPr>
        <w:pStyle w:val="PH2"/>
        <w:spacing w:line="276" w:lineRule="auto"/>
        <w:ind w:left="709"/>
        <w:rPr>
          <w:rFonts w:ascii="Times New Roman" w:hAnsi="Times New Roman" w:cs="Times New Roman"/>
          <w:sz w:val="20"/>
        </w:rPr>
      </w:pPr>
      <w:r w:rsidRPr="0062425D">
        <w:rPr>
          <w:rFonts w:ascii="Times New Roman" w:hAnsi="Times New Roman" w:cs="Times New Roman"/>
          <w:sz w:val="20"/>
        </w:rPr>
        <w:t xml:space="preserve">Berdasarkan hasil analisis yang telah dilakukan, pada tingkat banding menjelaskan bahwa penggunaan foto  citra satelit memberikan hasil yang lebih akurat jika dibandingkan dengan metode lotting secara manual, sebab lahan yang hendak diketahui batas-batasannya sangat luas terlebih lagi tidak ada peta serta gambar ukur yang jelas. Sehingga tumpang tindih antara IUP PT.BAS tidak hanya terjadi di objek sengketa 1 namun juga terjadi di objek sengketa 2 sebagaimana telah dibuktikan oleh PT. BAS </w:t>
      </w:r>
      <w:r w:rsidR="00E668FB" w:rsidRPr="0062425D">
        <w:rPr>
          <w:rFonts w:ascii="Times New Roman" w:hAnsi="Times New Roman" w:cs="Times New Roman"/>
          <w:sz w:val="20"/>
        </w:rPr>
        <w:t>sebagaimana dibuktikan dalam bukti P-36.</w:t>
      </w:r>
    </w:p>
    <w:p w14:paraId="1BA64F06" w14:textId="77777777" w:rsidR="00AF6290" w:rsidRPr="0062425D" w:rsidRDefault="00AF6290" w:rsidP="0062425D">
      <w:pPr>
        <w:pStyle w:val="PH2"/>
        <w:spacing w:line="276" w:lineRule="auto"/>
        <w:ind w:left="709"/>
        <w:rPr>
          <w:rFonts w:ascii="Times New Roman" w:hAnsi="Times New Roman" w:cs="Times New Roman"/>
          <w:sz w:val="20"/>
        </w:rPr>
      </w:pPr>
      <w:r w:rsidRPr="0062425D">
        <w:rPr>
          <w:rFonts w:ascii="Times New Roman" w:hAnsi="Times New Roman" w:cs="Times New Roman"/>
          <w:b/>
          <w:sz w:val="20"/>
        </w:rPr>
        <w:t xml:space="preserve">Penulis setuju </w:t>
      </w:r>
      <w:r w:rsidRPr="0062425D">
        <w:rPr>
          <w:rFonts w:ascii="Times New Roman" w:hAnsi="Times New Roman" w:cs="Times New Roman"/>
          <w:sz w:val="20"/>
        </w:rPr>
        <w:t>dengan pertimbangan Hakim Agung yang memenangkan izin usaha pertambangan milik PT. BAS. Hal tersebut didasarkan pada surat edaran Kepala BPN RI No. 5/SE/VI/2014 tanggal 18 Juni 2014 yang menegaskan sebagai berikut:</w:t>
      </w:r>
    </w:p>
    <w:p w14:paraId="563265FB" w14:textId="32A6075A" w:rsidR="00AF6290" w:rsidRPr="0062425D" w:rsidRDefault="00AF6290" w:rsidP="0062425D">
      <w:pPr>
        <w:pStyle w:val="PH2"/>
        <w:numPr>
          <w:ilvl w:val="0"/>
          <w:numId w:val="40"/>
        </w:numPr>
        <w:spacing w:line="276" w:lineRule="auto"/>
        <w:rPr>
          <w:rFonts w:ascii="Times New Roman" w:hAnsi="Times New Roman" w:cs="Times New Roman"/>
          <w:sz w:val="20"/>
        </w:rPr>
      </w:pPr>
      <w:r w:rsidRPr="0062425D">
        <w:rPr>
          <w:rFonts w:ascii="Times New Roman" w:hAnsi="Times New Roman" w:cs="Times New Roman"/>
          <w:sz w:val="20"/>
        </w:rPr>
        <w:t xml:space="preserve">Izin pertambangan terbit setelah izin lokasi perkebunan diterbitkan, permohonan hak atas tanah dapat diproses </w:t>
      </w:r>
      <w:r w:rsidRPr="0062425D">
        <w:rPr>
          <w:rFonts w:ascii="Times New Roman" w:hAnsi="Times New Roman" w:cs="Times New Roman"/>
          <w:b/>
          <w:sz w:val="20"/>
        </w:rPr>
        <w:t>tanpa persetujuan</w:t>
      </w:r>
      <w:r w:rsidRPr="0062425D">
        <w:rPr>
          <w:rFonts w:ascii="Times New Roman" w:hAnsi="Times New Roman" w:cs="Times New Roman"/>
          <w:sz w:val="20"/>
        </w:rPr>
        <w:t xml:space="preserve"> pemegang izin usaha pertambangan</w:t>
      </w:r>
      <w:r w:rsidR="008E2C91" w:rsidRPr="0062425D">
        <w:rPr>
          <w:rFonts w:ascii="Times New Roman" w:hAnsi="Times New Roman" w:cs="Times New Roman"/>
          <w:sz w:val="20"/>
        </w:rPr>
        <w:t>.</w:t>
      </w:r>
    </w:p>
    <w:p w14:paraId="667F2EFD" w14:textId="25001958" w:rsidR="00AF6290" w:rsidRPr="0062425D" w:rsidRDefault="00AF6290" w:rsidP="0062425D">
      <w:pPr>
        <w:pStyle w:val="PH2"/>
        <w:numPr>
          <w:ilvl w:val="0"/>
          <w:numId w:val="40"/>
        </w:numPr>
        <w:spacing w:line="276" w:lineRule="auto"/>
        <w:rPr>
          <w:rFonts w:ascii="Times New Roman" w:hAnsi="Times New Roman" w:cs="Times New Roman"/>
          <w:sz w:val="20"/>
        </w:rPr>
      </w:pPr>
      <w:r w:rsidRPr="0062425D">
        <w:rPr>
          <w:rFonts w:ascii="Times New Roman" w:hAnsi="Times New Roman" w:cs="Times New Roman"/>
          <w:sz w:val="20"/>
        </w:rPr>
        <w:t xml:space="preserve">Izin usaha pertambangan diterbitan lebih dahulu dari izin lokasi perkebunan, permohonan hak atas tanah dapat diproses setelah </w:t>
      </w:r>
      <w:r w:rsidRPr="0062425D">
        <w:rPr>
          <w:rFonts w:ascii="Times New Roman" w:hAnsi="Times New Roman" w:cs="Times New Roman"/>
          <w:b/>
          <w:sz w:val="20"/>
        </w:rPr>
        <w:t>mendapatkan persetujuan</w:t>
      </w:r>
      <w:r w:rsidRPr="0062425D">
        <w:rPr>
          <w:rFonts w:ascii="Times New Roman" w:hAnsi="Times New Roman" w:cs="Times New Roman"/>
          <w:sz w:val="20"/>
        </w:rPr>
        <w:t xml:space="preserve"> dari p</w:t>
      </w:r>
      <w:r w:rsidR="008E2C91" w:rsidRPr="0062425D">
        <w:rPr>
          <w:rFonts w:ascii="Times New Roman" w:hAnsi="Times New Roman" w:cs="Times New Roman"/>
          <w:sz w:val="20"/>
        </w:rPr>
        <w:t>emegang izin usaha pertambangan.</w:t>
      </w:r>
    </w:p>
    <w:p w14:paraId="4DCE0108" w14:textId="77777777" w:rsidR="00502B36" w:rsidRPr="0062425D" w:rsidRDefault="00502B36" w:rsidP="0062425D">
      <w:pPr>
        <w:pStyle w:val="PH2"/>
        <w:spacing w:line="276" w:lineRule="auto"/>
        <w:ind w:left="720" w:firstLine="349"/>
        <w:rPr>
          <w:rFonts w:ascii="Times New Roman" w:hAnsi="Times New Roman" w:cs="Times New Roman"/>
          <w:sz w:val="20"/>
        </w:rPr>
      </w:pPr>
      <w:r w:rsidRPr="0062425D">
        <w:rPr>
          <w:rFonts w:ascii="Times New Roman" w:hAnsi="Times New Roman" w:cs="Times New Roman"/>
          <w:sz w:val="20"/>
        </w:rPr>
        <w:t>S</w:t>
      </w:r>
      <w:r w:rsidR="00AF6290" w:rsidRPr="0062425D">
        <w:rPr>
          <w:rFonts w:ascii="Times New Roman" w:hAnsi="Times New Roman" w:cs="Times New Roman"/>
          <w:sz w:val="20"/>
        </w:rPr>
        <w:t xml:space="preserve">ejak tahun 2004 PT. BAS telah melakukan berbagai tahapan guna memperoleh izin usaha pertambangan (IUP). Pada tahun 2006 PT. BAS memperoleh IUP eksplorasi, sedangkan PT. SYB memperoleh SHGU No. 116 (objek sengketa 1) pada tahun 2009. Sehingga dapat diketahui IUP PT. BAS terbit terlebih dahulu. Maka permohonan hak atas tanah dalam hal ini hak guna usaha perkebunan PT. SYB (tergugat II intervensi) baru dapat diproses setelah memperoleh persetujuan dari pemegang izin usaha pertambangan milik PT. BAS (penggugat). </w:t>
      </w:r>
    </w:p>
    <w:p w14:paraId="0B383A89" w14:textId="6A4DAFA1" w:rsidR="00AF6290" w:rsidRPr="0062425D" w:rsidRDefault="00AF6290" w:rsidP="0062425D">
      <w:pPr>
        <w:pStyle w:val="PH2"/>
        <w:spacing w:line="276" w:lineRule="auto"/>
        <w:ind w:left="720" w:firstLine="349"/>
        <w:rPr>
          <w:rFonts w:ascii="Times New Roman" w:hAnsi="Times New Roman" w:cs="Times New Roman"/>
          <w:sz w:val="20"/>
        </w:rPr>
      </w:pPr>
      <w:r w:rsidRPr="0062425D">
        <w:rPr>
          <w:rFonts w:ascii="Times New Roman" w:hAnsi="Times New Roman" w:cs="Times New Roman"/>
          <w:sz w:val="20"/>
        </w:rPr>
        <w:t xml:space="preserve">Berdasarkan Keputusan Bupati Kutai kartanegara Nomor 52/DPN.K/IL-52/VII-2007 tentang Pemberian Izin Lokasi untuk Keperluan Inti dan Plasma Perkebunan Kelapa Sawit di Kecamatan Tabang Kepada PT. SYB tanggal 23 Juli 2007 menjadi salah satu pertimbangan untuk menerbitkan hak guna usaha atas nama PT. SYB. Dalam keputusan tersebut, Bupati </w:t>
      </w:r>
      <w:r w:rsidRPr="0062425D">
        <w:rPr>
          <w:rFonts w:ascii="Times New Roman" w:hAnsi="Times New Roman" w:cs="Times New Roman"/>
          <w:sz w:val="20"/>
        </w:rPr>
        <w:lastRenderedPageBreak/>
        <w:t>Kutai Kartanegara menegaskan kepada PT. SYB jika terdapat izin lokasi ini terdapat kuasa pertambangan batubara yang potensial, pihak perusahaan dalam hal ini PT. SYB untuk memprirotaskan dilakukan penambangan kepada pemegang kuasa pertambangan serta segala kerugian yang dialami oleh perusahaan akan diberikan ganti rugi oleh pemegang kuasa pertambangan dan besar ganti rugi akan dimusyawarahkan bersama.</w:t>
      </w:r>
      <w:r w:rsidR="008E2C91" w:rsidRPr="0062425D">
        <w:rPr>
          <w:rFonts w:ascii="Times New Roman" w:hAnsi="Times New Roman" w:cs="Times New Roman"/>
          <w:sz w:val="20"/>
        </w:rPr>
        <w:t xml:space="preserve"> </w:t>
      </w:r>
      <w:r w:rsidRPr="0062425D">
        <w:rPr>
          <w:rFonts w:ascii="Times New Roman" w:hAnsi="Times New Roman" w:cs="Times New Roman"/>
          <w:sz w:val="20"/>
        </w:rPr>
        <w:t>Sehingga sejak tahun 2004 hingga 2011 PT. BAS selaku pemilik IUP diberikan prioritas untuk melakukan kegiatan pertambangan.</w:t>
      </w:r>
    </w:p>
    <w:p w14:paraId="5F349ECF" w14:textId="7D276796" w:rsidR="00AF6290" w:rsidRPr="0062425D" w:rsidRDefault="00AF6290" w:rsidP="0062425D">
      <w:pPr>
        <w:pStyle w:val="BodyText"/>
        <w:ind w:left="720" w:firstLine="0"/>
        <w:rPr>
          <w:lang w:val="id-ID"/>
        </w:rPr>
      </w:pPr>
    </w:p>
    <w:p w14:paraId="535316E6" w14:textId="085862AB" w:rsidR="00E71B09" w:rsidRPr="0062425D" w:rsidRDefault="00E71B09" w:rsidP="0062425D">
      <w:pPr>
        <w:pStyle w:val="BodyText"/>
        <w:numPr>
          <w:ilvl w:val="0"/>
          <w:numId w:val="37"/>
        </w:numPr>
        <w:rPr>
          <w:lang w:val="id-ID"/>
        </w:rPr>
      </w:pPr>
      <w:r w:rsidRPr="0062425D">
        <w:rPr>
          <w:lang w:val="id-ID"/>
        </w:rPr>
        <w:t xml:space="preserve">Pertimbangan hakim </w:t>
      </w:r>
      <w:r w:rsidR="00143DA7" w:rsidRPr="0062425D">
        <w:rPr>
          <w:lang w:val="id-ID"/>
        </w:rPr>
        <w:t>dalam pokok perkara</w:t>
      </w:r>
    </w:p>
    <w:p w14:paraId="02759600" w14:textId="77CDF1D2" w:rsidR="00710E05" w:rsidRPr="0062425D" w:rsidRDefault="00CB4635" w:rsidP="0062425D">
      <w:pPr>
        <w:pStyle w:val="PH2"/>
        <w:spacing w:line="276" w:lineRule="auto"/>
        <w:rPr>
          <w:rFonts w:ascii="Times New Roman" w:hAnsi="Times New Roman" w:cs="Times New Roman"/>
        </w:rPr>
      </w:pPr>
      <w:r w:rsidRPr="0062425D">
        <w:rPr>
          <w:rFonts w:ascii="Times New Roman" w:hAnsi="Times New Roman" w:cs="Times New Roman"/>
          <w:sz w:val="20"/>
          <w:lang w:val="en-US"/>
        </w:rPr>
        <w:t>Pada jangka waktu penerbitan Surat Keterangan Izin Peninjauan (SKIP) PT. BAS hingga IUP Operasi Produksi yang berlangsung dari 29 Oktober 2004 hingga 8 Mei 2018 telah melewati berbagai perubahan pengaturan prosedur perizinan usaha pertambangan.</w:t>
      </w:r>
      <w:r w:rsidR="00710E05" w:rsidRPr="0062425D">
        <w:rPr>
          <w:rFonts w:ascii="Times New Roman" w:hAnsi="Times New Roman" w:cs="Times New Roman"/>
          <w:sz w:val="20"/>
        </w:rPr>
        <w:t xml:space="preserve"> Perbedaan mencolok antara UU 11/1967 dengan UU 4/2009 salah satunya terlihat pada tahapan kegiatan pertambangan. Dalam UU 11/1967 ayat (14) menjelaskan terdapat enam tahapan kegiatan pertambangan yang membagi kuasa pertambang atas penyelidikan umum, eksplorasi, eksploitasi, pengolahan dan pemurnian, pengangkutan, dan penjualan. Sedangkan dalam UU 4/2009 ayat (36) menjelaskan izin usaha pertambangan hanya terdiri dua tahap yakni izin usaha pertambangan eksplorasi yang meliputi kegiatan penyelidikan umum, eksplorasi, studi kelayakan, lalu izin usaha pertambangan operasi produksi yang meliputi konstruksi, penambangan, pengolahan &amp; pemurnian, pengangkutan serta penjualan </w:t>
      </w:r>
      <w:r w:rsidR="00710E05" w:rsidRPr="0062425D">
        <w:rPr>
          <w:rFonts w:ascii="Times New Roman" w:hAnsi="Times New Roman" w:cs="Times New Roman"/>
          <w:sz w:val="20"/>
        </w:rPr>
        <w:fldChar w:fldCharType="begin" w:fldLock="1"/>
      </w:r>
      <w:r w:rsidR="00710E05" w:rsidRPr="0062425D">
        <w:rPr>
          <w:rFonts w:ascii="Times New Roman" w:hAnsi="Times New Roman" w:cs="Times New Roman"/>
          <w:sz w:val="20"/>
        </w:rPr>
        <w:instrText>ADDIN CSL_CITATION {"citationItems":[{"id":"ITEM-1","itemData":{"author":[{"dropping-particle":"","family":"Epi Syahadat","given":"Subarudi &amp; Andri Setiadi","non-dropping-particle":"","parse-names":false,"suffix":""}],"container-title":"Jurnal Analisis Kebijakan Kehutanan","id":"ITEM-1","issued":{"date-parts":[["2018"]]},"title":"Sinkronisasi Kebijakan di Bidang Izin Pertambangan dalam Kawasan Hutan","type":"article-journal","volume":"1"},"uris":["http://www.mendeley.com/documents/?uuid=2cb36c97-d926-4fd1-b03f-63fe9ffe1dce"]}],"mendeley":{"formattedCitation":"(Epi Syahadat 2018)","plainTextFormattedCitation":"(Epi Syahadat 2018)","previouslyFormattedCitation":"(Epi Syahadat 2018)"},"properties":{"noteIndex":0},"schema":"https://github.com/citation-style-language/schema/raw/master/csl-citation.json"}</w:instrText>
      </w:r>
      <w:r w:rsidR="00710E05" w:rsidRPr="0062425D">
        <w:rPr>
          <w:rFonts w:ascii="Times New Roman" w:hAnsi="Times New Roman" w:cs="Times New Roman"/>
          <w:sz w:val="20"/>
        </w:rPr>
        <w:fldChar w:fldCharType="separate"/>
      </w:r>
      <w:r w:rsidR="00710E05" w:rsidRPr="0062425D">
        <w:rPr>
          <w:rFonts w:ascii="Times New Roman" w:hAnsi="Times New Roman" w:cs="Times New Roman"/>
          <w:noProof/>
          <w:sz w:val="20"/>
        </w:rPr>
        <w:t>(Epi Syahadat 2018)</w:t>
      </w:r>
      <w:r w:rsidR="00710E05" w:rsidRPr="0062425D">
        <w:rPr>
          <w:rFonts w:ascii="Times New Roman" w:hAnsi="Times New Roman" w:cs="Times New Roman"/>
          <w:sz w:val="20"/>
        </w:rPr>
        <w:fldChar w:fldCharType="end"/>
      </w:r>
      <w:r w:rsidR="00710E05" w:rsidRPr="0062425D">
        <w:rPr>
          <w:rFonts w:ascii="Times New Roman" w:hAnsi="Times New Roman" w:cs="Times New Roman"/>
          <w:sz w:val="20"/>
        </w:rPr>
        <w:t>. Sehingga dapat dilihat pada serangkaian izin pertambangan PT. BAS telah terlebih dahulu ada yang diawali dengan perolehan kuasa pertambangan penyelidikan umum pada tanggal 25 Juli 2005.</w:t>
      </w:r>
    </w:p>
    <w:p w14:paraId="7BD6F1BF" w14:textId="5F6539C1" w:rsidR="00CB4635" w:rsidRPr="0062425D" w:rsidRDefault="00CB4635" w:rsidP="0062425D">
      <w:pPr>
        <w:pStyle w:val="PH2"/>
        <w:spacing w:line="276" w:lineRule="auto"/>
        <w:rPr>
          <w:rFonts w:ascii="Times New Roman" w:hAnsi="Times New Roman" w:cs="Times New Roman"/>
          <w:sz w:val="20"/>
        </w:rPr>
      </w:pPr>
      <w:r w:rsidRPr="0062425D">
        <w:rPr>
          <w:rFonts w:ascii="Times New Roman" w:hAnsi="Times New Roman" w:cs="Times New Roman"/>
          <w:sz w:val="20"/>
        </w:rPr>
        <w:t xml:space="preserve">Berdasarkan </w:t>
      </w:r>
      <w:r w:rsidRPr="0062425D">
        <w:rPr>
          <w:rFonts w:ascii="Times New Roman" w:hAnsi="Times New Roman" w:cs="Times New Roman"/>
          <w:sz w:val="20"/>
          <w:lang w:val="en-US"/>
        </w:rPr>
        <w:t xml:space="preserve">ketentuan peraturan pelaksana dari UU </w:t>
      </w:r>
      <w:r w:rsidR="00735726" w:rsidRPr="0062425D">
        <w:rPr>
          <w:rFonts w:ascii="Times New Roman" w:hAnsi="Times New Roman" w:cs="Times New Roman"/>
          <w:sz w:val="20"/>
        </w:rPr>
        <w:t>Pertambangan</w:t>
      </w:r>
      <w:r w:rsidRPr="0062425D">
        <w:rPr>
          <w:rFonts w:ascii="Times New Roman" w:hAnsi="Times New Roman" w:cs="Times New Roman"/>
          <w:sz w:val="20"/>
          <w:lang w:val="en-US"/>
        </w:rPr>
        <w:t xml:space="preserve">, yaitu Pasal 112 ayat (4) Peraturan Pemerintah Nomor 23 Tahun 2010 tentang Pelaksanaan Kegiatan Usaha Pertambangan Mineral dan Batu Bara (PP No. 23/2010) </w:t>
      </w:r>
      <w:r w:rsidRPr="0062425D">
        <w:rPr>
          <w:rFonts w:ascii="Times New Roman" w:hAnsi="Times New Roman" w:cs="Times New Roman"/>
          <w:sz w:val="20"/>
        </w:rPr>
        <w:t>menjelaskan bahwa</w:t>
      </w:r>
      <w:r w:rsidRPr="0062425D">
        <w:rPr>
          <w:rFonts w:ascii="Times New Roman" w:hAnsi="Times New Roman" w:cs="Times New Roman"/>
          <w:sz w:val="20"/>
          <w:lang w:val="en-US"/>
        </w:rPr>
        <w:t>:</w:t>
      </w:r>
    </w:p>
    <w:p w14:paraId="5E9B3C77" w14:textId="77777777" w:rsidR="00CB4635" w:rsidRPr="0062425D" w:rsidRDefault="00CB4635" w:rsidP="0062425D">
      <w:pPr>
        <w:pStyle w:val="PH2"/>
        <w:spacing w:line="276" w:lineRule="auto"/>
        <w:ind w:left="1134" w:hanging="141"/>
        <w:rPr>
          <w:rFonts w:ascii="Times New Roman" w:hAnsi="Times New Roman" w:cs="Times New Roman"/>
          <w:sz w:val="20"/>
        </w:rPr>
      </w:pPr>
      <w:r w:rsidRPr="0062425D">
        <w:rPr>
          <w:rFonts w:ascii="Times New Roman" w:hAnsi="Times New Roman" w:cs="Times New Roman"/>
          <w:sz w:val="20"/>
          <w:lang w:val="en-US"/>
        </w:rPr>
        <w:t>“</w:t>
      </w:r>
      <w:r w:rsidRPr="0062425D">
        <w:rPr>
          <w:rFonts w:ascii="Times New Roman" w:hAnsi="Times New Roman" w:cs="Times New Roman"/>
          <w:b/>
          <w:bCs/>
          <w:sz w:val="20"/>
        </w:rPr>
        <w:t>Kuasa pertambangan,</w:t>
      </w:r>
      <w:r w:rsidRPr="0062425D">
        <w:rPr>
          <w:rFonts w:ascii="Times New Roman" w:hAnsi="Times New Roman" w:cs="Times New Roman"/>
          <w:sz w:val="20"/>
        </w:rPr>
        <w:t xml:space="preserve"> surat izin pertambangan daerah, dan surat izin pertambangan rakyat, yang diberikan berdasarkan ketentuan peraturan perundang-undangan sebelum </w:t>
      </w:r>
      <w:r w:rsidRPr="0062425D">
        <w:rPr>
          <w:rFonts w:ascii="Times New Roman" w:hAnsi="Times New Roman" w:cs="Times New Roman"/>
          <w:sz w:val="20"/>
        </w:rPr>
        <w:lastRenderedPageBreak/>
        <w:t>ditetapkannya Peraturan Pemerintah ini</w:t>
      </w:r>
      <w:r w:rsidRPr="0062425D">
        <w:rPr>
          <w:rFonts w:ascii="Times New Roman" w:hAnsi="Times New Roman" w:cs="Times New Roman"/>
          <w:b/>
          <w:bCs/>
          <w:sz w:val="20"/>
        </w:rPr>
        <w:t xml:space="preserve"> tetap diberlakukan sampai jangka waktu berakhir serta wajib</w:t>
      </w:r>
      <w:r w:rsidRPr="0062425D">
        <w:rPr>
          <w:rFonts w:ascii="Times New Roman" w:hAnsi="Times New Roman" w:cs="Times New Roman"/>
          <w:sz w:val="20"/>
        </w:rPr>
        <w:t xml:space="preserve">: </w:t>
      </w:r>
    </w:p>
    <w:p w14:paraId="046B98D2" w14:textId="3739A5E8" w:rsidR="00CB4635" w:rsidRPr="0062425D" w:rsidRDefault="00CB4635" w:rsidP="0062425D">
      <w:pPr>
        <w:pStyle w:val="PH2"/>
        <w:numPr>
          <w:ilvl w:val="0"/>
          <w:numId w:val="45"/>
        </w:numPr>
        <w:spacing w:line="276" w:lineRule="auto"/>
        <w:rPr>
          <w:rFonts w:ascii="Times New Roman" w:hAnsi="Times New Roman" w:cs="Times New Roman"/>
          <w:sz w:val="20"/>
        </w:rPr>
      </w:pPr>
      <w:r w:rsidRPr="0062425D">
        <w:rPr>
          <w:rFonts w:ascii="Times New Roman" w:hAnsi="Times New Roman" w:cs="Times New Roman"/>
          <w:b/>
          <w:bCs/>
          <w:sz w:val="20"/>
        </w:rPr>
        <w:t>disesuaikan menjadi IUP atau IPR</w:t>
      </w:r>
      <w:r w:rsidRPr="0062425D">
        <w:rPr>
          <w:rFonts w:ascii="Times New Roman" w:hAnsi="Times New Roman" w:cs="Times New Roman"/>
          <w:sz w:val="20"/>
        </w:rPr>
        <w:t xml:space="preserve"> sesuai dengan ketentuan Peraturan Pemerintah ini dalam jangka waktu paling lambat 3 (tiga) bulan sejak berlakunya Peraturan Pemerintah ini dan khusus BUMN dan BUMD, untuk IUP Operasi Produksi merupakan IUP Operasi Produksi pertama; </w:t>
      </w:r>
    </w:p>
    <w:p w14:paraId="2ED25FDF" w14:textId="6C76F81C" w:rsidR="00CB4635" w:rsidRPr="0062425D" w:rsidRDefault="00CB4635" w:rsidP="0062425D">
      <w:pPr>
        <w:pStyle w:val="PH2"/>
        <w:numPr>
          <w:ilvl w:val="0"/>
          <w:numId w:val="45"/>
        </w:numPr>
        <w:spacing w:line="276" w:lineRule="auto"/>
        <w:rPr>
          <w:rFonts w:ascii="Times New Roman" w:hAnsi="Times New Roman" w:cs="Times New Roman"/>
          <w:sz w:val="20"/>
        </w:rPr>
      </w:pPr>
      <w:r w:rsidRPr="0062425D">
        <w:rPr>
          <w:rFonts w:ascii="Times New Roman" w:hAnsi="Times New Roman" w:cs="Times New Roman"/>
          <w:sz w:val="20"/>
        </w:rPr>
        <w:t xml:space="preserve">menyampaikan rencana kegiatan pada seluruh wilayah kuasa pertambangan sampai dengan jangka waktu berakhirnya kuasa pertambangan kepada Menteri, gubernur, atau bupati/walikota sesuai dengan kewenangannya; </w:t>
      </w:r>
    </w:p>
    <w:p w14:paraId="57B4AE99" w14:textId="67E89A63" w:rsidR="00CB4635" w:rsidRPr="0062425D" w:rsidRDefault="00CB4635" w:rsidP="0062425D">
      <w:pPr>
        <w:pStyle w:val="PH2"/>
        <w:numPr>
          <w:ilvl w:val="0"/>
          <w:numId w:val="45"/>
        </w:numPr>
        <w:spacing w:after="120" w:line="276" w:lineRule="auto"/>
        <w:rPr>
          <w:rFonts w:ascii="Times New Roman" w:hAnsi="Times New Roman" w:cs="Times New Roman"/>
          <w:sz w:val="20"/>
        </w:rPr>
      </w:pPr>
      <w:r w:rsidRPr="0062425D">
        <w:rPr>
          <w:rFonts w:ascii="Times New Roman" w:hAnsi="Times New Roman" w:cs="Times New Roman"/>
          <w:sz w:val="20"/>
        </w:rPr>
        <w:t>melakukan pengolahan dan pemurnian di dalam negeri dalam jangka waktu paling lambat 5 (lima) tahun sejak berlakunya Undang-Undang Nomor 4 Tahun 2009 tentang Pertambangan Mineral dan Batubara.</w:t>
      </w:r>
      <w:r w:rsidRPr="0062425D">
        <w:rPr>
          <w:rFonts w:ascii="Times New Roman" w:hAnsi="Times New Roman" w:cs="Times New Roman"/>
          <w:sz w:val="20"/>
          <w:lang w:val="en-US"/>
        </w:rPr>
        <w:t>”</w:t>
      </w:r>
      <w:r w:rsidR="004D6FDF" w:rsidRPr="0062425D">
        <w:rPr>
          <w:rFonts w:ascii="Times New Roman" w:hAnsi="Times New Roman" w:cs="Times New Roman"/>
          <w:sz w:val="20"/>
        </w:rPr>
        <w:t xml:space="preserve"> </w:t>
      </w:r>
      <w:r w:rsidR="004D6FDF" w:rsidRPr="0062425D">
        <w:rPr>
          <w:rFonts w:ascii="Times New Roman" w:hAnsi="Times New Roman" w:cs="Times New Roman"/>
          <w:sz w:val="20"/>
        </w:rPr>
        <w:fldChar w:fldCharType="begin" w:fldLock="1"/>
      </w:r>
      <w:r w:rsidR="004D6FDF" w:rsidRPr="0062425D">
        <w:rPr>
          <w:rFonts w:ascii="Times New Roman" w:hAnsi="Times New Roman" w:cs="Times New Roman"/>
          <w:sz w:val="20"/>
        </w:rPr>
        <w:instrText>ADDIN CSL_CITATION {"citationItems":[{"id":"ITEM-1","itemData":{"author":[{"dropping-particle":"","family":"Indonesia","given":"","non-dropping-particle":"","parse-names":false,"suffix":""}],"id":"ITEM-1","issued":{"date-parts":[["2010"]]},"title":"Peraturan Pemerintah Nomor 23 Tahun 2010 tentang Pelaksanaan Kegiatan Usaha Pertambangan Mineral dan Batubara (LN No. 29 Tahun 2010, TLN No. 5111)","type":"legislation"},"uris":["http://www.mendeley.com/documents/?uuid=c4be7861-2dd8-47a0-ab42-2470ed492b2d"]}],"mendeley":{"formattedCitation":"(Indonesia 2010)","plainTextFormattedCitation":"(Indonesia 2010)","previouslyFormattedCitation":"(Indonesia 2010)"},"properties":{"noteIndex":0},"schema":"https://github.com/citation-style-language/schema/raw/master/csl-citation.json"}</w:instrText>
      </w:r>
      <w:r w:rsidR="004D6FDF" w:rsidRPr="0062425D">
        <w:rPr>
          <w:rFonts w:ascii="Times New Roman" w:hAnsi="Times New Roman" w:cs="Times New Roman"/>
          <w:sz w:val="20"/>
        </w:rPr>
        <w:fldChar w:fldCharType="separate"/>
      </w:r>
      <w:r w:rsidR="004D6FDF" w:rsidRPr="0062425D">
        <w:rPr>
          <w:rFonts w:ascii="Times New Roman" w:hAnsi="Times New Roman" w:cs="Times New Roman"/>
          <w:noProof/>
          <w:sz w:val="20"/>
        </w:rPr>
        <w:t>(Indonesia 2010)</w:t>
      </w:r>
      <w:r w:rsidR="004D6FDF" w:rsidRPr="0062425D">
        <w:rPr>
          <w:rFonts w:ascii="Times New Roman" w:hAnsi="Times New Roman" w:cs="Times New Roman"/>
          <w:sz w:val="20"/>
        </w:rPr>
        <w:fldChar w:fldCharType="end"/>
      </w:r>
    </w:p>
    <w:p w14:paraId="24CCB87C" w14:textId="6DDBE2A8" w:rsidR="00CB4635" w:rsidRPr="0062425D" w:rsidRDefault="00CB4635" w:rsidP="0062425D">
      <w:pPr>
        <w:pStyle w:val="PH2"/>
        <w:spacing w:after="120" w:line="276" w:lineRule="auto"/>
        <w:ind w:left="720" w:firstLine="414"/>
        <w:rPr>
          <w:rFonts w:ascii="Times New Roman" w:hAnsi="Times New Roman" w:cs="Times New Roman"/>
          <w:sz w:val="18"/>
        </w:rPr>
      </w:pPr>
      <w:r w:rsidRPr="0062425D">
        <w:rPr>
          <w:rFonts w:ascii="Times New Roman" w:hAnsi="Times New Roman" w:cs="Times New Roman"/>
          <w:sz w:val="20"/>
          <w:lang w:val="en-US"/>
        </w:rPr>
        <w:t xml:space="preserve">Karenanya, dalam 1 Desember 2016, PT BAS (Penguggat) yang semula pada 2006 memiliki izin bernama Kuasa Pertambangan Eksplorasi berubah menjadi Izin Usaha Pertambangan Eksplorasi berdasarkan Keputusan Bupati Kutai Kartanegara No. 540/1694/IUP-Er/MB-PBAT/XII/2009. Mengenai jangka waktu keberlakuan IUP Eksplorasi untuk pertambangan batu bara diatur dalam Pasal 42 ayat (4) </w:t>
      </w:r>
      <w:r w:rsidRPr="0062425D">
        <w:rPr>
          <w:rFonts w:ascii="Times New Roman" w:hAnsi="Times New Roman" w:cs="Times New Roman"/>
          <w:sz w:val="20"/>
        </w:rPr>
        <w:t xml:space="preserve">UU No. 4 Tahun 2009 </w:t>
      </w:r>
      <w:r w:rsidRPr="0062425D">
        <w:rPr>
          <w:rFonts w:ascii="Times New Roman" w:hAnsi="Times New Roman" w:cs="Times New Roman"/>
          <w:sz w:val="20"/>
          <w:lang w:val="en-US"/>
        </w:rPr>
        <w:t xml:space="preserve">yang </w:t>
      </w:r>
      <w:r w:rsidRPr="0062425D">
        <w:rPr>
          <w:rFonts w:ascii="Times New Roman" w:hAnsi="Times New Roman" w:cs="Times New Roman"/>
          <w:sz w:val="20"/>
        </w:rPr>
        <w:t>menyatakan bahwa:</w:t>
      </w:r>
    </w:p>
    <w:p w14:paraId="19AA902B" w14:textId="3CEC8848" w:rsidR="00CB4635" w:rsidRPr="0062425D" w:rsidRDefault="00CB4635" w:rsidP="0062425D">
      <w:pPr>
        <w:pStyle w:val="PH2"/>
        <w:spacing w:after="120" w:line="240" w:lineRule="auto"/>
        <w:ind w:left="1134" w:firstLine="0"/>
        <w:rPr>
          <w:rFonts w:ascii="Times New Roman" w:hAnsi="Times New Roman" w:cs="Times New Roman"/>
          <w:sz w:val="20"/>
        </w:rPr>
      </w:pPr>
      <w:r w:rsidRPr="0062425D">
        <w:rPr>
          <w:rFonts w:ascii="Times New Roman" w:hAnsi="Times New Roman" w:cs="Times New Roman"/>
          <w:sz w:val="20"/>
          <w:lang w:val="en-US"/>
        </w:rPr>
        <w:t>“</w:t>
      </w:r>
      <w:r w:rsidRPr="0062425D">
        <w:rPr>
          <w:rFonts w:ascii="Times New Roman" w:hAnsi="Times New Roman" w:cs="Times New Roman"/>
          <w:sz w:val="20"/>
        </w:rPr>
        <w:t xml:space="preserve">IUP Eksplorasi untuk pertambangan batubara dapat diberikan dalam jangka waktu </w:t>
      </w:r>
      <w:r w:rsidRPr="0062425D">
        <w:rPr>
          <w:rFonts w:ascii="Times New Roman" w:hAnsi="Times New Roman" w:cs="Times New Roman"/>
          <w:b/>
          <w:bCs/>
          <w:sz w:val="20"/>
        </w:rPr>
        <w:t>paling lama 7 (tujuh) tahun.</w:t>
      </w:r>
      <w:r w:rsidRPr="0062425D">
        <w:rPr>
          <w:rFonts w:ascii="Times New Roman" w:hAnsi="Times New Roman" w:cs="Times New Roman"/>
          <w:sz w:val="20"/>
          <w:lang w:val="en-US"/>
        </w:rPr>
        <w:t>”</w:t>
      </w:r>
      <w:r w:rsidR="004D6FDF" w:rsidRPr="0062425D">
        <w:rPr>
          <w:rFonts w:ascii="Times New Roman" w:hAnsi="Times New Roman" w:cs="Times New Roman"/>
          <w:sz w:val="20"/>
        </w:rPr>
        <w:t xml:space="preserve"> </w:t>
      </w:r>
      <w:r w:rsidR="004D6FDF" w:rsidRPr="0062425D">
        <w:rPr>
          <w:rFonts w:ascii="Times New Roman" w:hAnsi="Times New Roman" w:cs="Times New Roman"/>
          <w:sz w:val="20"/>
        </w:rPr>
        <w:fldChar w:fldCharType="begin" w:fldLock="1"/>
      </w:r>
      <w:r w:rsidR="004D6FDF" w:rsidRPr="0062425D">
        <w:rPr>
          <w:rFonts w:ascii="Times New Roman" w:hAnsi="Times New Roman" w:cs="Times New Roman"/>
          <w:sz w:val="20"/>
        </w:rPr>
        <w:instrText>ADDIN CSL_CITATION {"citationItems":[{"id":"ITEM-1","itemData":{"author":[{"dropping-particle":"","family":"Indonesia","given":"","non-dropping-particle":"","parse-names":false,"suffix":""}],"id":"ITEM-1","issued":{"date-parts":[["2009"]]},"title":"Undang-Undang Nomor 4 Tahun 2009 tentang Pertambangan Mineral dan Batubara (LN No. 4 Tahun 2009, TLN No. 4959)","type":"legislation"},"uris":["http://www.mendeley.com/documents/?uuid=03d097b4-320d-4ad5-9a06-b6e5d1c614e0"]}],"mendeley":{"formattedCitation":"(Indonesia 2009)","plainTextFormattedCitation":"(Indonesia 2009)","previouslyFormattedCitation":"(Indonesia 2009)"},"properties":{"noteIndex":0},"schema":"https://github.com/citation-style-language/schema/raw/master/csl-citation.json"}</w:instrText>
      </w:r>
      <w:r w:rsidR="004D6FDF" w:rsidRPr="0062425D">
        <w:rPr>
          <w:rFonts w:ascii="Times New Roman" w:hAnsi="Times New Roman" w:cs="Times New Roman"/>
          <w:sz w:val="20"/>
        </w:rPr>
        <w:fldChar w:fldCharType="separate"/>
      </w:r>
      <w:r w:rsidR="004D6FDF" w:rsidRPr="0062425D">
        <w:rPr>
          <w:rFonts w:ascii="Times New Roman" w:hAnsi="Times New Roman" w:cs="Times New Roman"/>
          <w:noProof/>
          <w:sz w:val="20"/>
        </w:rPr>
        <w:t>(Indonesia 2009)</w:t>
      </w:r>
      <w:r w:rsidR="004D6FDF" w:rsidRPr="0062425D">
        <w:rPr>
          <w:rFonts w:ascii="Times New Roman" w:hAnsi="Times New Roman" w:cs="Times New Roman"/>
          <w:sz w:val="20"/>
        </w:rPr>
        <w:fldChar w:fldCharType="end"/>
      </w:r>
    </w:p>
    <w:p w14:paraId="342A9A09" w14:textId="77777777" w:rsidR="00763C10" w:rsidRPr="0062425D" w:rsidRDefault="00CB4635" w:rsidP="0062425D">
      <w:pPr>
        <w:pStyle w:val="PH2"/>
        <w:spacing w:line="276" w:lineRule="auto"/>
        <w:ind w:left="720" w:firstLine="556"/>
        <w:rPr>
          <w:rFonts w:ascii="Times New Roman" w:hAnsi="Times New Roman" w:cs="Times New Roman"/>
          <w:sz w:val="20"/>
        </w:rPr>
      </w:pPr>
      <w:r w:rsidRPr="0062425D">
        <w:rPr>
          <w:rFonts w:ascii="Times New Roman" w:hAnsi="Times New Roman" w:cs="Times New Roman"/>
          <w:sz w:val="20"/>
          <w:lang w:val="en-US"/>
        </w:rPr>
        <w:t>Frasa “paling lama” dalam ketentuan tersebut dapat diartikan jika jangka waktu 7 (tujuh) tahun bukanlah jangka waktu yang wajib diberikan. Dengan demikian untuk dapat mengetahui jangka waktu keberlakuan IUP Eksplorasi milik Penggugat (PT BAS) perlu melihat terlebih dahulu bagaimana isi dari Keputusan Bupati Kutai Kartanegaar No. 54</w:t>
      </w:r>
      <w:r w:rsidR="00763C10" w:rsidRPr="0062425D">
        <w:rPr>
          <w:rFonts w:ascii="Times New Roman" w:hAnsi="Times New Roman" w:cs="Times New Roman"/>
          <w:sz w:val="20"/>
          <w:lang w:val="en-US"/>
        </w:rPr>
        <w:t>0/1694/IUP-Er/MB-PBAT/XII/2009.</w:t>
      </w:r>
    </w:p>
    <w:p w14:paraId="678FABCA" w14:textId="3BDE1069" w:rsidR="00CB4635" w:rsidRPr="0062425D" w:rsidRDefault="00CB4635" w:rsidP="0062425D">
      <w:pPr>
        <w:pStyle w:val="PH2"/>
        <w:spacing w:line="276" w:lineRule="auto"/>
        <w:ind w:left="720" w:firstLine="556"/>
        <w:rPr>
          <w:rFonts w:ascii="Times New Roman" w:eastAsia="Times New Roman" w:hAnsi="Times New Roman" w:cs="Times New Roman"/>
          <w:sz w:val="20"/>
        </w:rPr>
      </w:pPr>
      <w:r w:rsidRPr="0062425D">
        <w:rPr>
          <w:rFonts w:ascii="Times New Roman" w:hAnsi="Times New Roman" w:cs="Times New Roman"/>
          <w:sz w:val="20"/>
          <w:lang w:val="en-US"/>
        </w:rPr>
        <w:lastRenderedPageBreak/>
        <w:t xml:space="preserve">Keberlakuan dari IUP Eksplorasi tersebut sangat penting untuk didalami karena merupakan unsur penting untuk menentukan bahwa objek sengketa </w:t>
      </w:r>
      <w:r w:rsidRPr="0062425D">
        <w:rPr>
          <w:rFonts w:ascii="Times New Roman" w:hAnsi="Times New Roman" w:cs="Times New Roman"/>
          <w:sz w:val="20"/>
        </w:rPr>
        <w:t>terlebih</w:t>
      </w:r>
      <w:r w:rsidRPr="0062425D">
        <w:rPr>
          <w:rFonts w:ascii="Times New Roman" w:hAnsi="Times New Roman" w:cs="Times New Roman"/>
          <w:sz w:val="20"/>
          <w:lang w:val="en-US"/>
        </w:rPr>
        <w:t xml:space="preserve"> dahulu atau IUP yang ada pada bidang tanah yang disengketakan, meski IUP bukanlah merupakan hak atas tanah sebagaimana </w:t>
      </w:r>
      <w:r w:rsidRPr="0062425D">
        <w:rPr>
          <w:rFonts w:ascii="Times New Roman" w:eastAsia="Times New Roman" w:hAnsi="Times New Roman" w:cs="Times New Roman"/>
          <w:sz w:val="20"/>
        </w:rPr>
        <w:t>Pasal 1 ayat (2) Peraturan Pemerintah No. 24 Tahun 1997 tentang Pendaftaran Tanah (selanjutnya disebut PP Pendaftaran Tanah) memberikan definisi mengenai “Bidang Tanah” sebagai permukaan bumi yang merupakan satuan bidang yang berbatas. Sehingga IUP batubara milik Penggugat bukanlah merupakan “bidang tanah” melainkan endapan karbon yang ada di dalam bumi sebagaimana ketentuan Pasal 1 ayat (5) UU pertambangan 2009</w:t>
      </w:r>
      <w:r w:rsidRPr="0062425D">
        <w:rPr>
          <w:rFonts w:ascii="Times New Roman" w:eastAsia="Times New Roman" w:hAnsi="Times New Roman" w:cs="Times New Roman"/>
          <w:sz w:val="20"/>
          <w:lang w:val="en-US"/>
        </w:rPr>
        <w:t xml:space="preserve">, dalam Pasal 138 UU </w:t>
      </w:r>
      <w:r w:rsidR="00735726" w:rsidRPr="0062425D">
        <w:rPr>
          <w:rFonts w:ascii="Times New Roman" w:eastAsia="Times New Roman" w:hAnsi="Times New Roman" w:cs="Times New Roman"/>
          <w:sz w:val="20"/>
        </w:rPr>
        <w:t>Pertambangan 2009</w:t>
      </w:r>
      <w:r w:rsidRPr="0062425D">
        <w:rPr>
          <w:rFonts w:ascii="Times New Roman" w:eastAsia="Times New Roman" w:hAnsi="Times New Roman" w:cs="Times New Roman"/>
          <w:sz w:val="20"/>
          <w:lang w:val="en-US"/>
        </w:rPr>
        <w:t xml:space="preserve"> </w:t>
      </w:r>
      <w:r w:rsidR="00735726" w:rsidRPr="0062425D">
        <w:rPr>
          <w:rFonts w:ascii="Times New Roman" w:eastAsia="Times New Roman" w:hAnsi="Times New Roman" w:cs="Times New Roman"/>
          <w:sz w:val="20"/>
        </w:rPr>
        <w:t>menjelaskan bahwa:</w:t>
      </w:r>
    </w:p>
    <w:p w14:paraId="6F2B4F22" w14:textId="16FAD5C4" w:rsidR="00CB4635" w:rsidRPr="0062425D" w:rsidRDefault="00CB4635" w:rsidP="0062425D">
      <w:pPr>
        <w:pStyle w:val="PH2"/>
        <w:spacing w:after="120" w:line="276" w:lineRule="auto"/>
        <w:ind w:left="1134" w:firstLine="0"/>
        <w:rPr>
          <w:rFonts w:ascii="Times New Roman" w:hAnsi="Times New Roman" w:cs="Times New Roman"/>
          <w:sz w:val="20"/>
        </w:rPr>
      </w:pPr>
      <w:r w:rsidRPr="0062425D">
        <w:rPr>
          <w:rFonts w:ascii="Times New Roman" w:hAnsi="Times New Roman" w:cs="Times New Roman"/>
          <w:sz w:val="20"/>
          <w:lang w:val="en-US"/>
        </w:rPr>
        <w:t>“</w:t>
      </w:r>
      <w:r w:rsidRPr="0062425D">
        <w:rPr>
          <w:rFonts w:ascii="Times New Roman" w:hAnsi="Times New Roman" w:cs="Times New Roman"/>
          <w:sz w:val="20"/>
        </w:rPr>
        <w:t>Hak atas IUP, IPR, atau IUPK bukan merupakan pemilikan hak atas tanah</w:t>
      </w:r>
      <w:r w:rsidR="008E2C91" w:rsidRPr="0062425D">
        <w:rPr>
          <w:rFonts w:ascii="Times New Roman" w:hAnsi="Times New Roman" w:cs="Times New Roman"/>
          <w:sz w:val="20"/>
        </w:rPr>
        <w:t>.</w:t>
      </w:r>
      <w:r w:rsidRPr="0062425D">
        <w:rPr>
          <w:rFonts w:ascii="Times New Roman" w:hAnsi="Times New Roman" w:cs="Times New Roman"/>
          <w:sz w:val="20"/>
          <w:lang w:val="en-US"/>
        </w:rPr>
        <w:t>”</w:t>
      </w:r>
      <w:r w:rsidR="004D6FDF" w:rsidRPr="0062425D">
        <w:rPr>
          <w:rFonts w:ascii="Times New Roman" w:hAnsi="Times New Roman" w:cs="Times New Roman"/>
          <w:sz w:val="20"/>
        </w:rPr>
        <w:t xml:space="preserve"> </w:t>
      </w:r>
      <w:r w:rsidR="004D6FDF" w:rsidRPr="0062425D">
        <w:rPr>
          <w:rFonts w:ascii="Times New Roman" w:hAnsi="Times New Roman" w:cs="Times New Roman"/>
          <w:sz w:val="20"/>
        </w:rPr>
        <w:fldChar w:fldCharType="begin" w:fldLock="1"/>
      </w:r>
      <w:r w:rsidR="00735726" w:rsidRPr="0062425D">
        <w:rPr>
          <w:rFonts w:ascii="Times New Roman" w:hAnsi="Times New Roman" w:cs="Times New Roman"/>
          <w:sz w:val="20"/>
        </w:rPr>
        <w:instrText>ADDIN CSL_CITATION {"citationItems":[{"id":"ITEM-1","itemData":{"author":[{"dropping-particle":"","family":"Indonesia","given":"","non-dropping-particle":"","parse-names":false,"suffix":""}],"id":"ITEM-1","issued":{"date-parts":[["2009"]]},"title":"Undang-Undang Nomor 4 Tahun 2009 tentang Pertambangan Mineral dan Batubara (LN No. 4 Tahun 2009, TLN No. 4959)","type":"legislation"},"uris":["http://www.mendeley.com/documents/?uuid=03d097b4-320d-4ad5-9a06-b6e5d1c614e0"]}],"mendeley":{"formattedCitation":"(Indonesia 2009)","plainTextFormattedCitation":"(Indonesia 2009)","previouslyFormattedCitation":"(Indonesia 2009)"},"properties":{"noteIndex":0},"schema":"https://github.com/citation-style-language/schema/raw/master/csl-citation.json"}</w:instrText>
      </w:r>
      <w:r w:rsidR="004D6FDF" w:rsidRPr="0062425D">
        <w:rPr>
          <w:rFonts w:ascii="Times New Roman" w:hAnsi="Times New Roman" w:cs="Times New Roman"/>
          <w:sz w:val="20"/>
        </w:rPr>
        <w:fldChar w:fldCharType="separate"/>
      </w:r>
      <w:r w:rsidR="004D6FDF" w:rsidRPr="0062425D">
        <w:rPr>
          <w:rFonts w:ascii="Times New Roman" w:hAnsi="Times New Roman" w:cs="Times New Roman"/>
          <w:noProof/>
          <w:sz w:val="20"/>
        </w:rPr>
        <w:t>(Indonesia 2009)</w:t>
      </w:r>
      <w:r w:rsidR="004D6FDF" w:rsidRPr="0062425D">
        <w:rPr>
          <w:rFonts w:ascii="Times New Roman" w:hAnsi="Times New Roman" w:cs="Times New Roman"/>
          <w:sz w:val="20"/>
        </w:rPr>
        <w:fldChar w:fldCharType="end"/>
      </w:r>
    </w:p>
    <w:p w14:paraId="7D12FDD1" w14:textId="77777777" w:rsidR="0037406C" w:rsidRPr="0062425D" w:rsidRDefault="0037406C" w:rsidP="0062425D">
      <w:pPr>
        <w:pStyle w:val="PH2"/>
        <w:spacing w:line="276" w:lineRule="auto"/>
        <w:ind w:left="709"/>
        <w:rPr>
          <w:rFonts w:ascii="Times New Roman" w:hAnsi="Times New Roman" w:cs="Times New Roman"/>
          <w:sz w:val="20"/>
          <w:lang w:val="en-US"/>
        </w:rPr>
      </w:pPr>
      <w:r w:rsidRPr="0062425D">
        <w:rPr>
          <w:rFonts w:ascii="Times New Roman" w:hAnsi="Times New Roman" w:cs="Times New Roman"/>
          <w:sz w:val="20"/>
          <w:lang w:val="en-US"/>
        </w:rPr>
        <w:t>Semua tingkat putusan pada Putusan MA No. 47/K/TUN/2020 tidak menyebutkan berapa lama jangka waktu keberlakuan dari IUP Eksplorasi milik Penggugat, namun dari jawaban Tergugat II Intervensi (PT. SYB) menyebutkan sebagai berikut:</w:t>
      </w:r>
    </w:p>
    <w:p w14:paraId="5CA02792" w14:textId="77777777" w:rsidR="0037406C" w:rsidRPr="0062425D" w:rsidRDefault="0037406C" w:rsidP="0062425D">
      <w:pPr>
        <w:pStyle w:val="PH2"/>
        <w:spacing w:line="276" w:lineRule="auto"/>
        <w:ind w:left="1134" w:firstLine="0"/>
        <w:rPr>
          <w:rFonts w:ascii="Times New Roman" w:hAnsi="Times New Roman" w:cs="Times New Roman"/>
          <w:sz w:val="20"/>
          <w:lang w:val="en-US"/>
        </w:rPr>
      </w:pPr>
      <w:r w:rsidRPr="0062425D">
        <w:rPr>
          <w:rFonts w:ascii="Times New Roman" w:hAnsi="Times New Roman" w:cs="Times New Roman"/>
          <w:sz w:val="20"/>
          <w:lang w:val="en-US"/>
        </w:rPr>
        <w:t xml:space="preserve">“IUP Eksplorasi Penggugat yang terbit tanggal 1 Desember 2009 </w:t>
      </w:r>
      <w:r w:rsidRPr="0062425D">
        <w:rPr>
          <w:rFonts w:ascii="Times New Roman" w:hAnsi="Times New Roman" w:cs="Times New Roman"/>
          <w:b/>
          <w:bCs/>
          <w:sz w:val="20"/>
          <w:lang w:val="en-US"/>
        </w:rPr>
        <w:t>berlaku 2 tahun yang berakhir 1 Desember 2011</w:t>
      </w:r>
      <w:r w:rsidRPr="0062425D">
        <w:rPr>
          <w:rFonts w:ascii="Times New Roman" w:hAnsi="Times New Roman" w:cs="Times New Roman"/>
          <w:sz w:val="20"/>
          <w:lang w:val="en-US"/>
        </w:rPr>
        <w:t>, dan dalam Lampiran Ketiga tentang kewajiban Penggugat telah ditentukan dalam Poin ke-16 dimana salah satu kewajiban Penggugat sebagai pemegang IUP Eksplorasi yaitu:</w:t>
      </w:r>
    </w:p>
    <w:p w14:paraId="071AF46B" w14:textId="77777777" w:rsidR="0037406C" w:rsidRPr="0062425D" w:rsidRDefault="0037406C" w:rsidP="0062425D">
      <w:pPr>
        <w:pStyle w:val="PH2"/>
        <w:spacing w:line="276" w:lineRule="auto"/>
        <w:ind w:left="1134" w:firstLine="0"/>
        <w:rPr>
          <w:rFonts w:ascii="Times New Roman" w:hAnsi="Times New Roman" w:cs="Times New Roman"/>
          <w:sz w:val="20"/>
          <w:lang w:val="en-US"/>
        </w:rPr>
      </w:pPr>
      <w:r w:rsidRPr="0062425D">
        <w:rPr>
          <w:rFonts w:ascii="Times New Roman" w:hAnsi="Times New Roman" w:cs="Times New Roman"/>
          <w:sz w:val="20"/>
          <w:lang w:val="en-US"/>
        </w:rPr>
        <w:t xml:space="preserve">‘Permohonan Peningkatan IUP Eksplorasi untuk IUP Operasi Produksi harus diajukan </w:t>
      </w:r>
      <w:r w:rsidRPr="0062425D">
        <w:rPr>
          <w:rFonts w:ascii="Times New Roman" w:hAnsi="Times New Roman" w:cs="Times New Roman"/>
          <w:b/>
          <w:bCs/>
          <w:sz w:val="20"/>
          <w:lang w:val="en-US"/>
        </w:rPr>
        <w:t>paling lambat 3 (tiga) bulan</w:t>
      </w:r>
      <w:r w:rsidRPr="0062425D">
        <w:rPr>
          <w:rFonts w:ascii="Times New Roman" w:hAnsi="Times New Roman" w:cs="Times New Roman"/>
          <w:sz w:val="20"/>
          <w:lang w:val="en-US"/>
        </w:rPr>
        <w:t xml:space="preserve"> sebelum berakhirnya masa izin ini dengan dilengkapi sesuai ketentuan peraturan perundang-undangan.’</w:t>
      </w:r>
    </w:p>
    <w:p w14:paraId="301F6152" w14:textId="77777777" w:rsidR="0037406C" w:rsidRPr="0062425D" w:rsidRDefault="0037406C" w:rsidP="0062425D">
      <w:pPr>
        <w:pStyle w:val="PH2"/>
        <w:spacing w:after="120" w:line="276" w:lineRule="auto"/>
        <w:ind w:left="1134" w:firstLine="0"/>
        <w:rPr>
          <w:rFonts w:ascii="Times New Roman" w:hAnsi="Times New Roman" w:cs="Times New Roman"/>
          <w:sz w:val="20"/>
          <w:lang w:val="en-US"/>
        </w:rPr>
      </w:pPr>
      <w:r w:rsidRPr="0062425D">
        <w:rPr>
          <w:rFonts w:ascii="Times New Roman" w:hAnsi="Times New Roman" w:cs="Times New Roman"/>
          <w:sz w:val="20"/>
          <w:lang w:val="en-US"/>
        </w:rPr>
        <w:t>Dengan demikian, dengan tidak diajukannya Permohonan Peningkatan IUP Eksplorasi menjadi IUP Operasi Produksi paling lambat sebelum tanggal 1 September 2011 (..)”</w:t>
      </w:r>
    </w:p>
    <w:p w14:paraId="01403764" w14:textId="1799B034" w:rsidR="00BB435B" w:rsidRPr="0062425D" w:rsidRDefault="0037406C" w:rsidP="0062425D">
      <w:pPr>
        <w:pStyle w:val="PH2"/>
        <w:spacing w:line="276" w:lineRule="auto"/>
        <w:ind w:left="709"/>
        <w:rPr>
          <w:rFonts w:ascii="Times New Roman" w:hAnsi="Times New Roman" w:cs="Times New Roman"/>
          <w:sz w:val="20"/>
        </w:rPr>
      </w:pPr>
      <w:r w:rsidRPr="0062425D">
        <w:rPr>
          <w:rFonts w:ascii="Times New Roman" w:hAnsi="Times New Roman" w:cs="Times New Roman"/>
          <w:sz w:val="20"/>
          <w:lang w:val="en-US"/>
        </w:rPr>
        <w:t xml:space="preserve">Meskipun secara substansial jawaban PT. SYB tersebut salah dan dapat dibuktikan sebaliknya oleh PT. BAS jika pihaknya telah mengajukan Permohonan Peningkatan IUP Eksplorasi menjadi IUP pada tanggal 1 September 2011 sebagaimana Bukti P – 39, pernyataan PT. SYB secara eksplisit dapat </w:t>
      </w:r>
      <w:r w:rsidRPr="0062425D">
        <w:rPr>
          <w:rFonts w:ascii="Times New Roman" w:hAnsi="Times New Roman" w:cs="Times New Roman"/>
          <w:sz w:val="20"/>
          <w:lang w:val="en-US"/>
        </w:rPr>
        <w:lastRenderedPageBreak/>
        <w:t xml:space="preserve">dikatakan jika memang IUP Eksplorasi Penggugat berlaku selama 2 tahun dan hal tersebut tidak bertentangan dengan jangka waktu </w:t>
      </w:r>
      <w:r w:rsidRPr="0062425D">
        <w:rPr>
          <w:rFonts w:ascii="Times New Roman" w:hAnsi="Times New Roman" w:cs="Times New Roman"/>
          <w:sz w:val="20"/>
        </w:rPr>
        <w:t>maksimal</w:t>
      </w:r>
      <w:r w:rsidRPr="0062425D">
        <w:rPr>
          <w:rFonts w:ascii="Times New Roman" w:hAnsi="Times New Roman" w:cs="Times New Roman"/>
          <w:sz w:val="20"/>
          <w:lang w:val="en-US"/>
        </w:rPr>
        <w:t xml:space="preserve"> 7 tahun sebagaimana diatur dalam Pasal 42 ayat (4) UU No. 4/2009. Dari analisis tersebut dapat diketahui jika memang IUP Eksplorasi milik PT. BAS secara sah berlaku. Untuk mengetahui kronologi perizinan dari kedua pihak maka akan disediakan tabel sebagai berikut:</w:t>
      </w:r>
    </w:p>
    <w:p w14:paraId="55596A40" w14:textId="793711CE" w:rsidR="00BB435B" w:rsidRPr="0062425D" w:rsidRDefault="00BB435B" w:rsidP="0062425D">
      <w:pPr>
        <w:pStyle w:val="PH2"/>
        <w:spacing w:line="276" w:lineRule="auto"/>
        <w:ind w:left="709"/>
        <w:jc w:val="center"/>
        <w:rPr>
          <w:rFonts w:ascii="Times New Roman" w:hAnsi="Times New Roman" w:cs="Times New Roman"/>
          <w:sz w:val="20"/>
        </w:rPr>
      </w:pPr>
      <w:r w:rsidRPr="0062425D">
        <w:rPr>
          <w:rFonts w:ascii="Times New Roman" w:hAnsi="Times New Roman" w:cs="Times New Roman"/>
          <w:sz w:val="20"/>
        </w:rPr>
        <w:t>Tabel 1</w:t>
      </w:r>
      <w:r w:rsidR="00C138C1" w:rsidRPr="0062425D">
        <w:rPr>
          <w:rFonts w:ascii="Times New Roman" w:hAnsi="Times New Roman" w:cs="Times New Roman"/>
          <w:sz w:val="20"/>
        </w:rPr>
        <w:t>.1</w:t>
      </w:r>
    </w:p>
    <w:p w14:paraId="0C37B09F" w14:textId="6A69D5AC" w:rsidR="000B6492" w:rsidRPr="0062425D" w:rsidRDefault="000B6492" w:rsidP="0062425D">
      <w:pPr>
        <w:pStyle w:val="PH2"/>
        <w:spacing w:line="276" w:lineRule="auto"/>
        <w:ind w:left="709"/>
        <w:jc w:val="center"/>
        <w:rPr>
          <w:rFonts w:ascii="Times New Roman" w:hAnsi="Times New Roman" w:cs="Times New Roman"/>
          <w:sz w:val="20"/>
        </w:rPr>
      </w:pPr>
      <w:r w:rsidRPr="0062425D">
        <w:rPr>
          <w:rFonts w:ascii="Times New Roman" w:hAnsi="Times New Roman" w:cs="Times New Roman"/>
          <w:sz w:val="20"/>
        </w:rPr>
        <w:t>Kronologi perizinan dari kedua pihak</w:t>
      </w:r>
    </w:p>
    <w:tbl>
      <w:tblPr>
        <w:tblStyle w:val="TableGrid"/>
        <w:tblW w:w="0" w:type="auto"/>
        <w:tblInd w:w="567" w:type="dxa"/>
        <w:tblLook w:val="04A0" w:firstRow="1" w:lastRow="0" w:firstColumn="1" w:lastColumn="0" w:noHBand="0" w:noVBand="1"/>
      </w:tblPr>
      <w:tblGrid>
        <w:gridCol w:w="1299"/>
        <w:gridCol w:w="1576"/>
        <w:gridCol w:w="1414"/>
      </w:tblGrid>
      <w:tr w:rsidR="0062425D" w:rsidRPr="0062425D" w14:paraId="6DAC51C1" w14:textId="77777777" w:rsidTr="002E04AC">
        <w:trPr>
          <w:trHeight w:val="679"/>
        </w:trPr>
        <w:tc>
          <w:tcPr>
            <w:tcW w:w="2116" w:type="dxa"/>
            <w:shd w:val="clear" w:color="auto" w:fill="BDD6EE" w:themeFill="accent5" w:themeFillTint="66"/>
          </w:tcPr>
          <w:p w14:paraId="63332136" w14:textId="77777777" w:rsidR="0037406C" w:rsidRPr="0062425D" w:rsidRDefault="0037406C" w:rsidP="0062425D">
            <w:pPr>
              <w:pStyle w:val="PH2"/>
              <w:spacing w:line="276" w:lineRule="auto"/>
              <w:ind w:left="0" w:firstLine="0"/>
              <w:jc w:val="center"/>
              <w:rPr>
                <w:rFonts w:ascii="Times New Roman" w:hAnsi="Times New Roman" w:cs="Times New Roman"/>
                <w:b/>
                <w:bCs/>
                <w:sz w:val="20"/>
                <w:lang w:val="en-US"/>
              </w:rPr>
            </w:pPr>
            <w:r w:rsidRPr="0062425D">
              <w:rPr>
                <w:rFonts w:ascii="Times New Roman" w:hAnsi="Times New Roman" w:cs="Times New Roman"/>
                <w:b/>
                <w:bCs/>
                <w:sz w:val="20"/>
                <w:lang w:val="en-US"/>
              </w:rPr>
              <w:t>Tanggal</w:t>
            </w:r>
          </w:p>
        </w:tc>
        <w:tc>
          <w:tcPr>
            <w:tcW w:w="2662" w:type="dxa"/>
            <w:shd w:val="clear" w:color="auto" w:fill="BDD6EE" w:themeFill="accent5" w:themeFillTint="66"/>
          </w:tcPr>
          <w:p w14:paraId="3B8E0B9B" w14:textId="77777777" w:rsidR="0037406C" w:rsidRPr="0062425D" w:rsidRDefault="0037406C" w:rsidP="0062425D">
            <w:pPr>
              <w:pStyle w:val="PH2"/>
              <w:spacing w:line="276" w:lineRule="auto"/>
              <w:ind w:left="0" w:firstLine="0"/>
              <w:jc w:val="center"/>
              <w:rPr>
                <w:rFonts w:ascii="Times New Roman" w:hAnsi="Times New Roman" w:cs="Times New Roman"/>
                <w:b/>
                <w:bCs/>
                <w:sz w:val="20"/>
                <w:lang w:val="en-US"/>
              </w:rPr>
            </w:pPr>
            <w:r w:rsidRPr="0062425D">
              <w:rPr>
                <w:rFonts w:ascii="Times New Roman" w:hAnsi="Times New Roman" w:cs="Times New Roman"/>
                <w:b/>
                <w:bCs/>
                <w:sz w:val="20"/>
                <w:lang w:val="en-US"/>
              </w:rPr>
              <w:t>PT. BAS</w:t>
            </w:r>
          </w:p>
          <w:p w14:paraId="535FFDDE" w14:textId="77777777" w:rsidR="0037406C" w:rsidRPr="0062425D" w:rsidRDefault="0037406C" w:rsidP="0062425D">
            <w:pPr>
              <w:pStyle w:val="PH2"/>
              <w:spacing w:line="276" w:lineRule="auto"/>
              <w:ind w:left="0" w:firstLine="0"/>
              <w:jc w:val="center"/>
              <w:rPr>
                <w:rFonts w:ascii="Times New Roman" w:hAnsi="Times New Roman" w:cs="Times New Roman"/>
                <w:b/>
                <w:bCs/>
                <w:sz w:val="20"/>
                <w:lang w:val="en-US"/>
              </w:rPr>
            </w:pPr>
            <w:r w:rsidRPr="0062425D">
              <w:rPr>
                <w:rFonts w:ascii="Times New Roman" w:hAnsi="Times New Roman" w:cs="Times New Roman"/>
                <w:b/>
                <w:bCs/>
                <w:sz w:val="20"/>
                <w:lang w:val="en-US"/>
              </w:rPr>
              <w:t>(Penggugat)</w:t>
            </w:r>
          </w:p>
        </w:tc>
        <w:tc>
          <w:tcPr>
            <w:tcW w:w="2582" w:type="dxa"/>
            <w:shd w:val="clear" w:color="auto" w:fill="BDD6EE" w:themeFill="accent5" w:themeFillTint="66"/>
          </w:tcPr>
          <w:p w14:paraId="249B0F35" w14:textId="77777777" w:rsidR="0037406C" w:rsidRPr="0062425D" w:rsidRDefault="0037406C" w:rsidP="0062425D">
            <w:pPr>
              <w:pStyle w:val="PH2"/>
              <w:spacing w:line="276" w:lineRule="auto"/>
              <w:ind w:left="0" w:firstLine="0"/>
              <w:jc w:val="center"/>
              <w:rPr>
                <w:rFonts w:ascii="Times New Roman" w:hAnsi="Times New Roman" w:cs="Times New Roman"/>
                <w:b/>
                <w:bCs/>
                <w:sz w:val="20"/>
                <w:lang w:val="en-US"/>
              </w:rPr>
            </w:pPr>
            <w:r w:rsidRPr="0062425D">
              <w:rPr>
                <w:rFonts w:ascii="Times New Roman" w:hAnsi="Times New Roman" w:cs="Times New Roman"/>
                <w:b/>
                <w:bCs/>
                <w:sz w:val="20"/>
                <w:lang w:val="en-US"/>
              </w:rPr>
              <w:t>PT. SYB</w:t>
            </w:r>
          </w:p>
          <w:p w14:paraId="6BA32AC2" w14:textId="77777777" w:rsidR="0037406C" w:rsidRPr="0062425D" w:rsidRDefault="0037406C" w:rsidP="0062425D">
            <w:pPr>
              <w:pStyle w:val="PH2"/>
              <w:spacing w:line="276" w:lineRule="auto"/>
              <w:ind w:left="0" w:firstLine="0"/>
              <w:jc w:val="center"/>
              <w:rPr>
                <w:rFonts w:ascii="Times New Roman" w:hAnsi="Times New Roman" w:cs="Times New Roman"/>
                <w:b/>
                <w:bCs/>
                <w:sz w:val="20"/>
                <w:lang w:val="en-US"/>
              </w:rPr>
            </w:pPr>
            <w:r w:rsidRPr="0062425D">
              <w:rPr>
                <w:rFonts w:ascii="Times New Roman" w:hAnsi="Times New Roman" w:cs="Times New Roman"/>
                <w:b/>
                <w:bCs/>
                <w:sz w:val="20"/>
                <w:lang w:val="en-US"/>
              </w:rPr>
              <w:t>(Tergugat)</w:t>
            </w:r>
          </w:p>
        </w:tc>
      </w:tr>
      <w:tr w:rsidR="0062425D" w:rsidRPr="0062425D" w14:paraId="289D0D41" w14:textId="77777777" w:rsidTr="002E04AC">
        <w:trPr>
          <w:trHeight w:val="703"/>
        </w:trPr>
        <w:tc>
          <w:tcPr>
            <w:tcW w:w="2116" w:type="dxa"/>
          </w:tcPr>
          <w:p w14:paraId="06C94DEE" w14:textId="77777777" w:rsidR="0037406C" w:rsidRPr="0062425D" w:rsidRDefault="0037406C" w:rsidP="0062425D">
            <w:pPr>
              <w:pStyle w:val="PH2"/>
              <w:spacing w:after="120" w:line="276" w:lineRule="auto"/>
              <w:ind w:left="0" w:firstLine="0"/>
              <w:rPr>
                <w:rFonts w:ascii="Times New Roman" w:hAnsi="Times New Roman" w:cs="Times New Roman"/>
                <w:b/>
                <w:bCs/>
                <w:sz w:val="20"/>
                <w:lang w:val="en-US"/>
              </w:rPr>
            </w:pPr>
            <w:r w:rsidRPr="0062425D">
              <w:rPr>
                <w:rFonts w:ascii="Times New Roman" w:hAnsi="Times New Roman" w:cs="Times New Roman"/>
                <w:b/>
                <w:bCs/>
                <w:sz w:val="20"/>
                <w:lang w:val="en-US"/>
              </w:rPr>
              <w:t>29 Oktober 2004</w:t>
            </w:r>
          </w:p>
        </w:tc>
        <w:tc>
          <w:tcPr>
            <w:tcW w:w="2662" w:type="dxa"/>
          </w:tcPr>
          <w:p w14:paraId="73BF5DD4"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r w:rsidRPr="0062425D">
              <w:rPr>
                <w:rFonts w:ascii="Times New Roman" w:hAnsi="Times New Roman" w:cs="Times New Roman"/>
                <w:sz w:val="20"/>
                <w:lang w:val="en-US"/>
              </w:rPr>
              <w:t>Surat Keterangan Izin Peninjauan</w:t>
            </w:r>
          </w:p>
        </w:tc>
        <w:tc>
          <w:tcPr>
            <w:tcW w:w="2582" w:type="dxa"/>
          </w:tcPr>
          <w:p w14:paraId="0F7F7AF7"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r w:rsidRPr="0062425D">
              <w:rPr>
                <w:rFonts w:ascii="Times New Roman" w:hAnsi="Times New Roman" w:cs="Times New Roman"/>
                <w:sz w:val="20"/>
                <w:lang w:val="en-US"/>
              </w:rPr>
              <w:t>-</w:t>
            </w:r>
          </w:p>
        </w:tc>
      </w:tr>
      <w:tr w:rsidR="0062425D" w:rsidRPr="0062425D" w14:paraId="164A93E5" w14:textId="77777777" w:rsidTr="002E04AC">
        <w:trPr>
          <w:trHeight w:val="710"/>
        </w:trPr>
        <w:tc>
          <w:tcPr>
            <w:tcW w:w="2116" w:type="dxa"/>
          </w:tcPr>
          <w:p w14:paraId="2C1240F2" w14:textId="77777777" w:rsidR="0037406C" w:rsidRPr="0062425D" w:rsidRDefault="0037406C" w:rsidP="0062425D">
            <w:pPr>
              <w:pStyle w:val="PH2"/>
              <w:spacing w:after="120" w:line="276" w:lineRule="auto"/>
              <w:ind w:left="0" w:firstLine="0"/>
              <w:rPr>
                <w:rFonts w:ascii="Times New Roman" w:hAnsi="Times New Roman" w:cs="Times New Roman"/>
                <w:b/>
                <w:bCs/>
                <w:sz w:val="20"/>
                <w:lang w:val="en-US"/>
              </w:rPr>
            </w:pPr>
            <w:r w:rsidRPr="0062425D">
              <w:rPr>
                <w:rFonts w:ascii="Times New Roman" w:hAnsi="Times New Roman" w:cs="Times New Roman"/>
                <w:b/>
                <w:bCs/>
                <w:sz w:val="20"/>
                <w:lang w:val="en-US"/>
              </w:rPr>
              <w:t>25 Juli 2005</w:t>
            </w:r>
          </w:p>
        </w:tc>
        <w:tc>
          <w:tcPr>
            <w:tcW w:w="2662" w:type="dxa"/>
          </w:tcPr>
          <w:p w14:paraId="53523E95"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r w:rsidRPr="0062425D">
              <w:rPr>
                <w:rFonts w:ascii="Times New Roman" w:hAnsi="Times New Roman" w:cs="Times New Roman"/>
                <w:sz w:val="20"/>
                <w:lang w:val="en-US"/>
              </w:rPr>
              <w:t>Kuasa Pertambangan Penyelidikan Umum</w:t>
            </w:r>
          </w:p>
        </w:tc>
        <w:tc>
          <w:tcPr>
            <w:tcW w:w="2582" w:type="dxa"/>
          </w:tcPr>
          <w:p w14:paraId="1537BC96"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r w:rsidRPr="0062425D">
              <w:rPr>
                <w:rFonts w:ascii="Times New Roman" w:hAnsi="Times New Roman" w:cs="Times New Roman"/>
                <w:sz w:val="20"/>
                <w:lang w:val="en-US"/>
              </w:rPr>
              <w:t>-</w:t>
            </w:r>
          </w:p>
        </w:tc>
      </w:tr>
      <w:tr w:rsidR="0062425D" w:rsidRPr="0062425D" w14:paraId="3A97BFD7" w14:textId="77777777" w:rsidTr="002E04AC">
        <w:trPr>
          <w:trHeight w:val="695"/>
        </w:trPr>
        <w:tc>
          <w:tcPr>
            <w:tcW w:w="2116" w:type="dxa"/>
            <w:shd w:val="clear" w:color="auto" w:fill="C5E0B3" w:themeFill="accent6" w:themeFillTint="66"/>
          </w:tcPr>
          <w:p w14:paraId="46188405" w14:textId="77777777" w:rsidR="0037406C" w:rsidRPr="0062425D" w:rsidRDefault="0037406C" w:rsidP="0062425D">
            <w:pPr>
              <w:pStyle w:val="PH2"/>
              <w:spacing w:after="120" w:line="276" w:lineRule="auto"/>
              <w:ind w:left="0" w:firstLine="0"/>
              <w:rPr>
                <w:rFonts w:ascii="Times New Roman" w:hAnsi="Times New Roman" w:cs="Times New Roman"/>
                <w:b/>
                <w:bCs/>
                <w:sz w:val="20"/>
                <w:lang w:val="en-US"/>
              </w:rPr>
            </w:pPr>
            <w:r w:rsidRPr="0062425D">
              <w:rPr>
                <w:rFonts w:ascii="Times New Roman" w:hAnsi="Times New Roman" w:cs="Times New Roman"/>
                <w:b/>
                <w:bCs/>
                <w:sz w:val="20"/>
                <w:lang w:val="en-US"/>
              </w:rPr>
              <w:t>1 Agustus 2006</w:t>
            </w:r>
          </w:p>
        </w:tc>
        <w:tc>
          <w:tcPr>
            <w:tcW w:w="2662" w:type="dxa"/>
            <w:shd w:val="clear" w:color="auto" w:fill="C5E0B3" w:themeFill="accent6" w:themeFillTint="66"/>
          </w:tcPr>
          <w:p w14:paraId="358D86C3"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r w:rsidRPr="0062425D">
              <w:rPr>
                <w:rFonts w:ascii="Times New Roman" w:hAnsi="Times New Roman" w:cs="Times New Roman"/>
                <w:sz w:val="20"/>
                <w:lang w:val="en-US"/>
              </w:rPr>
              <w:t>Kuasa Pertambangan Eksplorasi</w:t>
            </w:r>
          </w:p>
        </w:tc>
        <w:tc>
          <w:tcPr>
            <w:tcW w:w="2582" w:type="dxa"/>
            <w:shd w:val="clear" w:color="auto" w:fill="C5E0B3" w:themeFill="accent6" w:themeFillTint="66"/>
          </w:tcPr>
          <w:p w14:paraId="1177C39B"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p>
        </w:tc>
      </w:tr>
      <w:tr w:rsidR="0062425D" w:rsidRPr="0062425D" w14:paraId="26914F72" w14:textId="77777777" w:rsidTr="002E04AC">
        <w:trPr>
          <w:trHeight w:val="695"/>
        </w:trPr>
        <w:tc>
          <w:tcPr>
            <w:tcW w:w="2116" w:type="dxa"/>
            <w:shd w:val="clear" w:color="auto" w:fill="auto"/>
          </w:tcPr>
          <w:p w14:paraId="6AA76D39" w14:textId="77777777" w:rsidR="0037406C" w:rsidRPr="0062425D" w:rsidRDefault="0037406C" w:rsidP="0062425D">
            <w:pPr>
              <w:pStyle w:val="PH2"/>
              <w:spacing w:after="120" w:line="276" w:lineRule="auto"/>
              <w:ind w:left="0" w:firstLine="0"/>
              <w:rPr>
                <w:rFonts w:ascii="Times New Roman" w:hAnsi="Times New Roman" w:cs="Times New Roman"/>
                <w:b/>
                <w:bCs/>
                <w:sz w:val="20"/>
                <w:lang w:val="en-US"/>
              </w:rPr>
            </w:pPr>
            <w:r w:rsidRPr="0062425D">
              <w:rPr>
                <w:rFonts w:ascii="Times New Roman" w:hAnsi="Times New Roman" w:cs="Times New Roman"/>
                <w:b/>
                <w:bCs/>
                <w:sz w:val="20"/>
                <w:lang w:val="en-US"/>
              </w:rPr>
              <w:t>23 Juli 2007</w:t>
            </w:r>
          </w:p>
        </w:tc>
        <w:tc>
          <w:tcPr>
            <w:tcW w:w="2662" w:type="dxa"/>
            <w:shd w:val="clear" w:color="auto" w:fill="auto"/>
          </w:tcPr>
          <w:p w14:paraId="341626E8"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r w:rsidRPr="0062425D">
              <w:rPr>
                <w:rFonts w:ascii="Times New Roman" w:hAnsi="Times New Roman" w:cs="Times New Roman"/>
                <w:sz w:val="20"/>
                <w:lang w:val="en-US"/>
              </w:rPr>
              <w:t>-</w:t>
            </w:r>
          </w:p>
        </w:tc>
        <w:tc>
          <w:tcPr>
            <w:tcW w:w="2582" w:type="dxa"/>
            <w:shd w:val="clear" w:color="auto" w:fill="auto"/>
          </w:tcPr>
          <w:p w14:paraId="50DF6E25"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r w:rsidRPr="0062425D">
              <w:rPr>
                <w:rFonts w:ascii="Times New Roman" w:hAnsi="Times New Roman" w:cs="Times New Roman"/>
                <w:sz w:val="20"/>
                <w:lang w:val="en-US"/>
              </w:rPr>
              <w:t>Izin Lokasi Perkebunan Kelapa Sawit</w:t>
            </w:r>
          </w:p>
        </w:tc>
      </w:tr>
      <w:tr w:rsidR="0062425D" w:rsidRPr="0062425D" w14:paraId="4E74E02D" w14:textId="77777777" w:rsidTr="002E04AC">
        <w:trPr>
          <w:trHeight w:val="695"/>
        </w:trPr>
        <w:tc>
          <w:tcPr>
            <w:tcW w:w="2116" w:type="dxa"/>
          </w:tcPr>
          <w:p w14:paraId="2FA17F43" w14:textId="77777777" w:rsidR="0037406C" w:rsidRPr="0062425D" w:rsidRDefault="0037406C" w:rsidP="0062425D">
            <w:pPr>
              <w:pStyle w:val="PH2"/>
              <w:spacing w:after="120" w:line="276" w:lineRule="auto"/>
              <w:ind w:left="0" w:firstLine="0"/>
              <w:rPr>
                <w:rFonts w:ascii="Times New Roman" w:hAnsi="Times New Roman" w:cs="Times New Roman"/>
                <w:b/>
                <w:bCs/>
                <w:sz w:val="20"/>
                <w:lang w:val="en-US"/>
              </w:rPr>
            </w:pPr>
            <w:r w:rsidRPr="0062425D">
              <w:rPr>
                <w:rFonts w:ascii="Times New Roman" w:hAnsi="Times New Roman" w:cs="Times New Roman"/>
                <w:b/>
                <w:bCs/>
                <w:sz w:val="20"/>
                <w:lang w:val="en-US"/>
              </w:rPr>
              <w:t>26 Juli 2007</w:t>
            </w:r>
          </w:p>
        </w:tc>
        <w:tc>
          <w:tcPr>
            <w:tcW w:w="2662" w:type="dxa"/>
          </w:tcPr>
          <w:p w14:paraId="619C05AE"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r w:rsidRPr="0062425D">
              <w:rPr>
                <w:rFonts w:ascii="Times New Roman" w:hAnsi="Times New Roman" w:cs="Times New Roman"/>
                <w:sz w:val="20"/>
                <w:lang w:val="en-US"/>
              </w:rPr>
              <w:t>-</w:t>
            </w:r>
          </w:p>
        </w:tc>
        <w:tc>
          <w:tcPr>
            <w:tcW w:w="2582" w:type="dxa"/>
          </w:tcPr>
          <w:p w14:paraId="3992C3F8"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r w:rsidRPr="0062425D">
              <w:rPr>
                <w:rFonts w:ascii="Times New Roman" w:hAnsi="Times New Roman" w:cs="Times New Roman"/>
                <w:sz w:val="20"/>
                <w:lang w:val="en-US"/>
              </w:rPr>
              <w:t>Izin Usaha Budidaya Perkebunan Komoditi Kelapa Sawit</w:t>
            </w:r>
          </w:p>
        </w:tc>
      </w:tr>
      <w:tr w:rsidR="0062425D" w:rsidRPr="0062425D" w14:paraId="3F2EF885" w14:textId="77777777" w:rsidTr="002E04AC">
        <w:trPr>
          <w:trHeight w:val="695"/>
        </w:trPr>
        <w:tc>
          <w:tcPr>
            <w:tcW w:w="2116" w:type="dxa"/>
          </w:tcPr>
          <w:p w14:paraId="74C90B71" w14:textId="77777777" w:rsidR="0037406C" w:rsidRPr="0062425D" w:rsidRDefault="0037406C" w:rsidP="0062425D">
            <w:pPr>
              <w:pStyle w:val="PH2"/>
              <w:spacing w:after="120" w:line="276" w:lineRule="auto"/>
              <w:ind w:left="0" w:firstLine="0"/>
              <w:rPr>
                <w:rFonts w:ascii="Times New Roman" w:hAnsi="Times New Roman" w:cs="Times New Roman"/>
                <w:b/>
                <w:bCs/>
                <w:sz w:val="20"/>
                <w:lang w:val="en-US"/>
              </w:rPr>
            </w:pPr>
            <w:r w:rsidRPr="0062425D">
              <w:rPr>
                <w:rFonts w:ascii="Times New Roman" w:hAnsi="Times New Roman" w:cs="Times New Roman"/>
                <w:b/>
                <w:bCs/>
                <w:sz w:val="20"/>
                <w:lang w:val="en-US"/>
              </w:rPr>
              <w:t>16 Maret 2009</w:t>
            </w:r>
          </w:p>
        </w:tc>
        <w:tc>
          <w:tcPr>
            <w:tcW w:w="2662" w:type="dxa"/>
          </w:tcPr>
          <w:p w14:paraId="5FC8D9DF"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r w:rsidRPr="0062425D">
              <w:rPr>
                <w:rFonts w:ascii="Times New Roman" w:hAnsi="Times New Roman" w:cs="Times New Roman"/>
                <w:sz w:val="20"/>
                <w:lang w:val="en-US"/>
              </w:rPr>
              <w:t>-</w:t>
            </w:r>
          </w:p>
        </w:tc>
        <w:tc>
          <w:tcPr>
            <w:tcW w:w="2582" w:type="dxa"/>
          </w:tcPr>
          <w:p w14:paraId="375B288A"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r w:rsidRPr="0062425D">
              <w:rPr>
                <w:rFonts w:ascii="Times New Roman" w:hAnsi="Times New Roman" w:cs="Times New Roman"/>
                <w:sz w:val="20"/>
                <w:lang w:val="en-US"/>
              </w:rPr>
              <w:t>Kelayakan Lingkungan Perkebunan Kelapa Sawit</w:t>
            </w:r>
          </w:p>
        </w:tc>
      </w:tr>
      <w:tr w:rsidR="0062425D" w:rsidRPr="0062425D" w14:paraId="5E26357C" w14:textId="77777777" w:rsidTr="002E04AC">
        <w:trPr>
          <w:trHeight w:val="695"/>
        </w:trPr>
        <w:tc>
          <w:tcPr>
            <w:tcW w:w="2116" w:type="dxa"/>
            <w:shd w:val="clear" w:color="auto" w:fill="C5E0B3" w:themeFill="accent6" w:themeFillTint="66"/>
          </w:tcPr>
          <w:p w14:paraId="0800DD9D" w14:textId="77777777" w:rsidR="0037406C" w:rsidRPr="0062425D" w:rsidRDefault="0037406C" w:rsidP="0062425D">
            <w:pPr>
              <w:pStyle w:val="PH2"/>
              <w:spacing w:after="120" w:line="276" w:lineRule="auto"/>
              <w:ind w:left="0" w:firstLine="0"/>
              <w:rPr>
                <w:rFonts w:ascii="Times New Roman" w:hAnsi="Times New Roman" w:cs="Times New Roman"/>
                <w:b/>
                <w:bCs/>
                <w:sz w:val="20"/>
                <w:lang w:val="en-US"/>
              </w:rPr>
            </w:pPr>
            <w:r w:rsidRPr="0062425D">
              <w:rPr>
                <w:rFonts w:ascii="Times New Roman" w:hAnsi="Times New Roman" w:cs="Times New Roman"/>
                <w:b/>
                <w:bCs/>
                <w:sz w:val="20"/>
                <w:lang w:val="en-US"/>
              </w:rPr>
              <w:t>29 Oktober 2009</w:t>
            </w:r>
          </w:p>
        </w:tc>
        <w:tc>
          <w:tcPr>
            <w:tcW w:w="2662" w:type="dxa"/>
            <w:shd w:val="clear" w:color="auto" w:fill="C5E0B3" w:themeFill="accent6" w:themeFillTint="66"/>
          </w:tcPr>
          <w:p w14:paraId="2442749A"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r w:rsidRPr="0062425D">
              <w:rPr>
                <w:rFonts w:ascii="Times New Roman" w:hAnsi="Times New Roman" w:cs="Times New Roman"/>
                <w:sz w:val="20"/>
                <w:lang w:val="en-US"/>
              </w:rPr>
              <w:t>-</w:t>
            </w:r>
          </w:p>
        </w:tc>
        <w:tc>
          <w:tcPr>
            <w:tcW w:w="2582" w:type="dxa"/>
            <w:shd w:val="clear" w:color="auto" w:fill="C5E0B3" w:themeFill="accent6" w:themeFillTint="66"/>
          </w:tcPr>
          <w:p w14:paraId="24800400"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r w:rsidRPr="0062425D">
              <w:rPr>
                <w:rFonts w:ascii="Times New Roman" w:hAnsi="Times New Roman" w:cs="Times New Roman"/>
                <w:sz w:val="20"/>
                <w:lang w:val="en-US"/>
              </w:rPr>
              <w:t>SHGU No. 116</w:t>
            </w:r>
          </w:p>
        </w:tc>
      </w:tr>
      <w:tr w:rsidR="0062425D" w:rsidRPr="0062425D" w14:paraId="4B19F14D" w14:textId="77777777" w:rsidTr="002E04AC">
        <w:tc>
          <w:tcPr>
            <w:tcW w:w="2116" w:type="dxa"/>
          </w:tcPr>
          <w:p w14:paraId="7ADECCCE" w14:textId="77777777" w:rsidR="0037406C" w:rsidRPr="0062425D" w:rsidRDefault="0037406C" w:rsidP="0062425D">
            <w:pPr>
              <w:pStyle w:val="PH2"/>
              <w:spacing w:after="120" w:line="276" w:lineRule="auto"/>
              <w:ind w:left="0" w:firstLine="0"/>
              <w:rPr>
                <w:rFonts w:ascii="Times New Roman" w:hAnsi="Times New Roman" w:cs="Times New Roman"/>
                <w:b/>
                <w:bCs/>
                <w:sz w:val="20"/>
                <w:lang w:val="en-US"/>
              </w:rPr>
            </w:pPr>
            <w:r w:rsidRPr="0062425D">
              <w:rPr>
                <w:rFonts w:ascii="Times New Roman" w:hAnsi="Times New Roman" w:cs="Times New Roman"/>
                <w:b/>
                <w:bCs/>
                <w:sz w:val="20"/>
                <w:lang w:val="en-US"/>
              </w:rPr>
              <w:t>1 Desember 2009</w:t>
            </w:r>
          </w:p>
        </w:tc>
        <w:tc>
          <w:tcPr>
            <w:tcW w:w="2662" w:type="dxa"/>
          </w:tcPr>
          <w:p w14:paraId="5063F737"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r w:rsidRPr="0062425D">
              <w:rPr>
                <w:rFonts w:ascii="Times New Roman" w:hAnsi="Times New Roman" w:cs="Times New Roman"/>
                <w:sz w:val="20"/>
                <w:lang w:val="en-US"/>
              </w:rPr>
              <w:t>Izin Usaha Pertambnagan Eksplorasi</w:t>
            </w:r>
          </w:p>
        </w:tc>
        <w:tc>
          <w:tcPr>
            <w:tcW w:w="2582" w:type="dxa"/>
          </w:tcPr>
          <w:p w14:paraId="260FE6E7"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p>
        </w:tc>
      </w:tr>
      <w:tr w:rsidR="0062425D" w:rsidRPr="0062425D" w14:paraId="209E6459" w14:textId="77777777" w:rsidTr="002E04AC">
        <w:tc>
          <w:tcPr>
            <w:tcW w:w="2116" w:type="dxa"/>
          </w:tcPr>
          <w:p w14:paraId="3D4AF874" w14:textId="77777777" w:rsidR="0037406C" w:rsidRPr="0062425D" w:rsidRDefault="0037406C" w:rsidP="0062425D">
            <w:pPr>
              <w:pStyle w:val="PH2"/>
              <w:spacing w:after="120" w:line="276" w:lineRule="auto"/>
              <w:ind w:left="0" w:firstLine="0"/>
              <w:rPr>
                <w:rFonts w:ascii="Times New Roman" w:hAnsi="Times New Roman" w:cs="Times New Roman"/>
                <w:b/>
                <w:bCs/>
                <w:sz w:val="20"/>
                <w:lang w:val="en-US"/>
              </w:rPr>
            </w:pPr>
            <w:r w:rsidRPr="0062425D">
              <w:rPr>
                <w:rFonts w:ascii="Times New Roman" w:hAnsi="Times New Roman" w:cs="Times New Roman"/>
                <w:b/>
                <w:bCs/>
                <w:sz w:val="20"/>
                <w:lang w:val="en-US"/>
              </w:rPr>
              <w:t>29 September 2010</w:t>
            </w:r>
          </w:p>
        </w:tc>
        <w:tc>
          <w:tcPr>
            <w:tcW w:w="2662" w:type="dxa"/>
          </w:tcPr>
          <w:p w14:paraId="002A600C"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r w:rsidRPr="0062425D">
              <w:rPr>
                <w:rFonts w:ascii="Times New Roman" w:hAnsi="Times New Roman" w:cs="Times New Roman"/>
                <w:sz w:val="20"/>
                <w:lang w:val="en-US"/>
              </w:rPr>
              <w:t>-</w:t>
            </w:r>
          </w:p>
        </w:tc>
        <w:tc>
          <w:tcPr>
            <w:tcW w:w="2582" w:type="dxa"/>
          </w:tcPr>
          <w:p w14:paraId="74B36108"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r w:rsidRPr="0062425D">
              <w:rPr>
                <w:rFonts w:ascii="Times New Roman" w:hAnsi="Times New Roman" w:cs="Times New Roman"/>
                <w:sz w:val="20"/>
                <w:lang w:val="en-US"/>
              </w:rPr>
              <w:t>SHGU No. 147</w:t>
            </w:r>
          </w:p>
        </w:tc>
      </w:tr>
      <w:tr w:rsidR="0062425D" w:rsidRPr="0062425D" w14:paraId="1AE12BA2" w14:textId="77777777" w:rsidTr="002E04AC">
        <w:tc>
          <w:tcPr>
            <w:tcW w:w="2116" w:type="dxa"/>
          </w:tcPr>
          <w:p w14:paraId="777C7688" w14:textId="77777777" w:rsidR="0037406C" w:rsidRPr="0062425D" w:rsidRDefault="0037406C" w:rsidP="0062425D">
            <w:pPr>
              <w:pStyle w:val="PH2"/>
              <w:spacing w:after="120" w:line="276" w:lineRule="auto"/>
              <w:ind w:left="0" w:firstLine="0"/>
              <w:rPr>
                <w:rFonts w:ascii="Times New Roman" w:hAnsi="Times New Roman" w:cs="Times New Roman"/>
                <w:b/>
                <w:bCs/>
                <w:sz w:val="20"/>
                <w:lang w:val="en-US"/>
              </w:rPr>
            </w:pPr>
            <w:r w:rsidRPr="0062425D">
              <w:rPr>
                <w:rFonts w:ascii="Times New Roman" w:hAnsi="Times New Roman" w:cs="Times New Roman"/>
                <w:b/>
                <w:bCs/>
                <w:sz w:val="20"/>
                <w:lang w:val="en-US"/>
              </w:rPr>
              <w:t>1 September 2011</w:t>
            </w:r>
          </w:p>
        </w:tc>
        <w:tc>
          <w:tcPr>
            <w:tcW w:w="2662" w:type="dxa"/>
          </w:tcPr>
          <w:p w14:paraId="7CDC3531"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r w:rsidRPr="0062425D">
              <w:rPr>
                <w:rFonts w:ascii="Times New Roman" w:hAnsi="Times New Roman" w:cs="Times New Roman"/>
                <w:sz w:val="20"/>
                <w:lang w:val="en-US"/>
              </w:rPr>
              <w:t xml:space="preserve">Permohonan Peningkatan IUP Eksplorasi </w:t>
            </w:r>
            <w:r w:rsidRPr="0062425D">
              <w:rPr>
                <w:rFonts w:ascii="Times New Roman" w:hAnsi="Times New Roman" w:cs="Times New Roman"/>
                <w:sz w:val="20"/>
                <w:lang w:val="en-US"/>
              </w:rPr>
              <w:lastRenderedPageBreak/>
              <w:t>Menjadi IUP Operasi Produksi</w:t>
            </w:r>
          </w:p>
        </w:tc>
        <w:tc>
          <w:tcPr>
            <w:tcW w:w="2582" w:type="dxa"/>
          </w:tcPr>
          <w:p w14:paraId="26F18752" w14:textId="77777777" w:rsidR="0037406C" w:rsidRPr="0062425D" w:rsidRDefault="0037406C" w:rsidP="0062425D">
            <w:pPr>
              <w:pStyle w:val="PH2"/>
              <w:spacing w:after="120" w:line="276" w:lineRule="auto"/>
              <w:ind w:left="0" w:firstLine="0"/>
              <w:jc w:val="center"/>
              <w:rPr>
                <w:rFonts w:ascii="Times New Roman" w:hAnsi="Times New Roman" w:cs="Times New Roman"/>
                <w:sz w:val="20"/>
                <w:lang w:val="en-US"/>
              </w:rPr>
            </w:pPr>
          </w:p>
        </w:tc>
      </w:tr>
    </w:tbl>
    <w:p w14:paraId="6618D229" w14:textId="316650DD" w:rsidR="000B6492" w:rsidRPr="0062425D" w:rsidRDefault="000B6492" w:rsidP="0062425D">
      <w:pPr>
        <w:pStyle w:val="PH2"/>
        <w:spacing w:line="276" w:lineRule="auto"/>
        <w:ind w:left="709"/>
        <w:rPr>
          <w:rFonts w:ascii="Times New Roman" w:hAnsi="Times New Roman" w:cs="Times New Roman"/>
          <w:sz w:val="20"/>
        </w:rPr>
      </w:pPr>
      <w:r w:rsidRPr="0062425D">
        <w:rPr>
          <w:rFonts w:ascii="Times New Roman" w:hAnsi="Times New Roman" w:cs="Times New Roman"/>
          <w:sz w:val="20"/>
        </w:rPr>
        <w:lastRenderedPageBreak/>
        <w:t>Sumber : Data diolah sendiri</w:t>
      </w:r>
    </w:p>
    <w:p w14:paraId="61435F23" w14:textId="77777777" w:rsidR="000B6492" w:rsidRPr="0062425D" w:rsidRDefault="000B6492" w:rsidP="0062425D">
      <w:pPr>
        <w:pStyle w:val="PH2"/>
        <w:spacing w:line="276" w:lineRule="auto"/>
        <w:ind w:left="709"/>
        <w:rPr>
          <w:rFonts w:ascii="Times New Roman" w:hAnsi="Times New Roman" w:cs="Times New Roman"/>
          <w:sz w:val="20"/>
        </w:rPr>
      </w:pPr>
    </w:p>
    <w:p w14:paraId="0DFC120A" w14:textId="656871AB" w:rsidR="0037406C" w:rsidRPr="0062425D" w:rsidRDefault="0037406C" w:rsidP="0062425D">
      <w:pPr>
        <w:pStyle w:val="PH2"/>
        <w:spacing w:line="276" w:lineRule="auto"/>
        <w:ind w:left="709"/>
        <w:rPr>
          <w:rFonts w:ascii="Times New Roman" w:hAnsi="Times New Roman" w:cs="Times New Roman"/>
          <w:sz w:val="20"/>
          <w:lang w:val="en-US"/>
        </w:rPr>
      </w:pPr>
      <w:r w:rsidRPr="0062425D">
        <w:rPr>
          <w:rFonts w:ascii="Times New Roman" w:hAnsi="Times New Roman" w:cs="Times New Roman"/>
          <w:sz w:val="20"/>
          <w:lang w:val="en-US"/>
        </w:rPr>
        <w:t xml:space="preserve">Relevansi atau hubungan antara </w:t>
      </w:r>
      <w:r w:rsidR="00E668FB" w:rsidRPr="0062425D">
        <w:rPr>
          <w:rFonts w:ascii="Times New Roman" w:hAnsi="Times New Roman" w:cs="Times New Roman"/>
          <w:sz w:val="20"/>
        </w:rPr>
        <w:t>IUP</w:t>
      </w:r>
      <w:r w:rsidRPr="0062425D">
        <w:rPr>
          <w:rFonts w:ascii="Times New Roman" w:hAnsi="Times New Roman" w:cs="Times New Roman"/>
          <w:sz w:val="20"/>
          <w:lang w:val="en-US"/>
        </w:rPr>
        <w:t xml:space="preserve"> dengan </w:t>
      </w:r>
      <w:r w:rsidR="00E668FB" w:rsidRPr="0062425D">
        <w:rPr>
          <w:rFonts w:ascii="Times New Roman" w:hAnsi="Times New Roman" w:cs="Times New Roman"/>
          <w:sz w:val="20"/>
        </w:rPr>
        <w:t>HAT</w:t>
      </w:r>
      <w:r w:rsidRPr="0062425D">
        <w:rPr>
          <w:rFonts w:ascii="Times New Roman" w:hAnsi="Times New Roman" w:cs="Times New Roman"/>
          <w:sz w:val="20"/>
          <w:lang w:val="en-US"/>
        </w:rPr>
        <w:t xml:space="preserve"> dalam hal ini </w:t>
      </w:r>
      <w:r w:rsidR="00E668FB" w:rsidRPr="0062425D">
        <w:rPr>
          <w:rFonts w:ascii="Times New Roman" w:hAnsi="Times New Roman" w:cs="Times New Roman"/>
          <w:sz w:val="20"/>
        </w:rPr>
        <w:t>SHGY</w:t>
      </w:r>
      <w:r w:rsidRPr="0062425D">
        <w:rPr>
          <w:rFonts w:ascii="Times New Roman" w:hAnsi="Times New Roman" w:cs="Times New Roman"/>
          <w:sz w:val="20"/>
          <w:lang w:val="en-US"/>
        </w:rPr>
        <w:t xml:space="preserve"> merupakan salah satu unsur yang tak terpisahkan dari analisis. Telah diketahui jika </w:t>
      </w:r>
      <w:r w:rsidR="00E668FB" w:rsidRPr="0062425D">
        <w:rPr>
          <w:rFonts w:ascii="Times New Roman" w:hAnsi="Times New Roman" w:cs="Times New Roman"/>
          <w:sz w:val="20"/>
        </w:rPr>
        <w:t>IUP</w:t>
      </w:r>
      <w:r w:rsidRPr="0062425D">
        <w:rPr>
          <w:rFonts w:ascii="Times New Roman" w:hAnsi="Times New Roman" w:cs="Times New Roman"/>
          <w:sz w:val="20"/>
          <w:lang w:val="en-US"/>
        </w:rPr>
        <w:t xml:space="preserve"> Eksplorasi terlebih dahulu hadir sebelum serangkaian prosedur penerbitan SHGU dilakukan Tergugat II Intervensi (PT. SYB) sebagaimana dapat dilihat pada tabel diatas. Untuk menganalisis hal demikian, digunakan ketentuan Undang-Undang Nomor 4 Tahun 2009 tentang Pertambangan Mineral dan Batubara (</w:t>
      </w:r>
      <w:r w:rsidR="00735726" w:rsidRPr="0062425D">
        <w:rPr>
          <w:rFonts w:ascii="Times New Roman" w:hAnsi="Times New Roman" w:cs="Times New Roman"/>
          <w:sz w:val="20"/>
        </w:rPr>
        <w:t xml:space="preserve">selanjutnya disebut </w:t>
      </w:r>
      <w:r w:rsidRPr="0062425D">
        <w:rPr>
          <w:rFonts w:ascii="Times New Roman" w:hAnsi="Times New Roman" w:cs="Times New Roman"/>
          <w:sz w:val="20"/>
          <w:lang w:val="en-US"/>
        </w:rPr>
        <w:t xml:space="preserve">UU </w:t>
      </w:r>
      <w:r w:rsidR="00735726" w:rsidRPr="0062425D">
        <w:rPr>
          <w:rFonts w:ascii="Times New Roman" w:hAnsi="Times New Roman" w:cs="Times New Roman"/>
          <w:sz w:val="20"/>
        </w:rPr>
        <w:t>Pertambangan 2009</w:t>
      </w:r>
      <w:r w:rsidRPr="0062425D">
        <w:rPr>
          <w:rFonts w:ascii="Times New Roman" w:hAnsi="Times New Roman" w:cs="Times New Roman"/>
          <w:sz w:val="20"/>
          <w:lang w:val="en-US"/>
        </w:rPr>
        <w:t xml:space="preserve">) dengan peraturan pelaksana dari Undang-Undang Nomor 11 Tahun 1967 tentang Ketentuan-Ketentuan Pokok Pertambangan (UU No. 11/1967) karena pada saat rentan waktu objek sengketa I dengan IUP Eksplorasi tergugat masih dalam tenggang waktu pembuatan peraturan pelaksana dari </w:t>
      </w:r>
      <w:r w:rsidR="00735726" w:rsidRPr="0062425D">
        <w:rPr>
          <w:rFonts w:ascii="Times New Roman" w:hAnsi="Times New Roman" w:cs="Times New Roman"/>
          <w:sz w:val="20"/>
        </w:rPr>
        <w:t>Pertambangan</w:t>
      </w:r>
      <w:r w:rsidRPr="0062425D">
        <w:rPr>
          <w:rFonts w:ascii="Times New Roman" w:hAnsi="Times New Roman" w:cs="Times New Roman"/>
          <w:sz w:val="20"/>
          <w:lang w:val="en-US"/>
        </w:rPr>
        <w:t xml:space="preserve">, sebagaimana amanat Pasal 173 ayat (2) UU </w:t>
      </w:r>
      <w:r w:rsidR="00735726" w:rsidRPr="0062425D">
        <w:rPr>
          <w:rFonts w:ascii="Times New Roman" w:hAnsi="Times New Roman" w:cs="Times New Roman"/>
          <w:sz w:val="20"/>
        </w:rPr>
        <w:t>Pertambangan 2009</w:t>
      </w:r>
      <w:r w:rsidRPr="0062425D">
        <w:rPr>
          <w:rFonts w:ascii="Times New Roman" w:hAnsi="Times New Roman" w:cs="Times New Roman"/>
          <w:sz w:val="20"/>
          <w:lang w:val="en-US"/>
        </w:rPr>
        <w:t xml:space="preserve"> yang berbunyi:</w:t>
      </w:r>
    </w:p>
    <w:p w14:paraId="1A4CC760" w14:textId="69D493A3" w:rsidR="0037406C" w:rsidRPr="0062425D" w:rsidRDefault="0037406C" w:rsidP="0062425D">
      <w:pPr>
        <w:pStyle w:val="PH2"/>
        <w:spacing w:after="120" w:line="276" w:lineRule="auto"/>
        <w:ind w:left="1134" w:firstLine="0"/>
        <w:rPr>
          <w:rFonts w:ascii="Times New Roman" w:hAnsi="Times New Roman" w:cs="Times New Roman"/>
          <w:sz w:val="20"/>
        </w:rPr>
      </w:pPr>
      <w:r w:rsidRPr="0062425D">
        <w:rPr>
          <w:rFonts w:ascii="Times New Roman" w:hAnsi="Times New Roman" w:cs="Times New Roman"/>
          <w:sz w:val="20"/>
          <w:lang w:val="en-US"/>
        </w:rPr>
        <w:t>“</w:t>
      </w:r>
      <w:r w:rsidRPr="0062425D">
        <w:rPr>
          <w:rFonts w:ascii="Times New Roman" w:hAnsi="Times New Roman" w:cs="Times New Roman"/>
          <w:b/>
          <w:bCs/>
          <w:sz w:val="20"/>
        </w:rPr>
        <w:t xml:space="preserve">Pada saat Undang-Undang ini mulai berlaku, semua Peraturan Perundang-undangan yang merupakan peraturan pelaksanaan dari Undang-Undang Nomor 11 Tahun 1967 tentang Ketentuan-Ketentuan Pokok Pertambangan </w:t>
      </w:r>
      <w:r w:rsidRPr="0062425D">
        <w:rPr>
          <w:rFonts w:ascii="Times New Roman" w:hAnsi="Times New Roman" w:cs="Times New Roman"/>
          <w:sz w:val="20"/>
        </w:rPr>
        <w:t xml:space="preserve">(Lembaran Negara Republik Indonesia Tahun 1967 Nomor 22, Tambahan Lembaran Negara Republik Indonesia Nomor 2831) </w:t>
      </w:r>
      <w:r w:rsidRPr="0062425D">
        <w:rPr>
          <w:rFonts w:ascii="Times New Roman" w:hAnsi="Times New Roman" w:cs="Times New Roman"/>
          <w:b/>
          <w:bCs/>
          <w:sz w:val="20"/>
        </w:rPr>
        <w:t>dinyatakan masih tetap berlaku</w:t>
      </w:r>
      <w:r w:rsidRPr="0062425D">
        <w:rPr>
          <w:rFonts w:ascii="Times New Roman" w:hAnsi="Times New Roman" w:cs="Times New Roman"/>
          <w:sz w:val="20"/>
        </w:rPr>
        <w:t xml:space="preserve"> sepanjang tidak bertentangan dengan ketentuan dalam Undang-Undang ini</w:t>
      </w:r>
      <w:r w:rsidR="008E2C91" w:rsidRPr="0062425D">
        <w:rPr>
          <w:rFonts w:ascii="Times New Roman" w:hAnsi="Times New Roman" w:cs="Times New Roman"/>
          <w:sz w:val="20"/>
        </w:rPr>
        <w:t>.</w:t>
      </w:r>
      <w:r w:rsidRPr="0062425D">
        <w:rPr>
          <w:rFonts w:ascii="Times New Roman" w:hAnsi="Times New Roman" w:cs="Times New Roman"/>
          <w:sz w:val="20"/>
          <w:lang w:val="en-US"/>
        </w:rPr>
        <w:t>”</w:t>
      </w:r>
      <w:r w:rsidR="004D6FDF" w:rsidRPr="0062425D">
        <w:rPr>
          <w:rFonts w:ascii="Times New Roman" w:hAnsi="Times New Roman" w:cs="Times New Roman"/>
          <w:sz w:val="20"/>
        </w:rPr>
        <w:t xml:space="preserve"> </w:t>
      </w:r>
      <w:r w:rsidR="00735726" w:rsidRPr="0062425D">
        <w:rPr>
          <w:rFonts w:ascii="Times New Roman" w:hAnsi="Times New Roman" w:cs="Times New Roman"/>
          <w:sz w:val="20"/>
        </w:rPr>
        <w:fldChar w:fldCharType="begin" w:fldLock="1"/>
      </w:r>
      <w:r w:rsidR="00735726" w:rsidRPr="0062425D">
        <w:rPr>
          <w:rFonts w:ascii="Times New Roman" w:hAnsi="Times New Roman" w:cs="Times New Roman"/>
          <w:sz w:val="20"/>
        </w:rPr>
        <w:instrText>ADDIN CSL_CITATION {"citationItems":[{"id":"ITEM-1","itemData":{"author":[{"dropping-particle":"","family":"Indonesia","given":"","non-dropping-particle":"","parse-names":false,"suffix":""}],"id":"ITEM-1","issued":{"date-parts":[["2009"]]},"title":"Undang-Undang Nomor 4 Tahun 2009 tentang Pertambangan Mineral dan Batubara (LN No. 4 Tahun 2009, TLN No. 4959)","type":"legislation"},"uris":["http://www.mendeley.com/documents/?uuid=03d097b4-320d-4ad5-9a06-b6e5d1c614e0"]}],"mendeley":{"formattedCitation":"(Indonesia 2009)","plainTextFormattedCitation":"(Indonesia 2009)","previouslyFormattedCitation":"(Indonesia 2009)"},"properties":{"noteIndex":0},"schema":"https://github.com/citation-style-language/schema/raw/master/csl-citation.json"}</w:instrText>
      </w:r>
      <w:r w:rsidR="00735726" w:rsidRPr="0062425D">
        <w:rPr>
          <w:rFonts w:ascii="Times New Roman" w:hAnsi="Times New Roman" w:cs="Times New Roman"/>
          <w:sz w:val="20"/>
        </w:rPr>
        <w:fldChar w:fldCharType="separate"/>
      </w:r>
      <w:r w:rsidR="00735726" w:rsidRPr="0062425D">
        <w:rPr>
          <w:rFonts w:ascii="Times New Roman" w:hAnsi="Times New Roman" w:cs="Times New Roman"/>
          <w:noProof/>
          <w:sz w:val="20"/>
        </w:rPr>
        <w:t>(Indonesia 2009)</w:t>
      </w:r>
      <w:r w:rsidR="00735726" w:rsidRPr="0062425D">
        <w:rPr>
          <w:rFonts w:ascii="Times New Roman" w:hAnsi="Times New Roman" w:cs="Times New Roman"/>
          <w:sz w:val="20"/>
        </w:rPr>
        <w:fldChar w:fldCharType="end"/>
      </w:r>
    </w:p>
    <w:p w14:paraId="0E897B21" w14:textId="060B5537" w:rsidR="0037406C" w:rsidRPr="0062425D" w:rsidRDefault="00E668FB" w:rsidP="0062425D">
      <w:pPr>
        <w:pStyle w:val="PH2"/>
        <w:spacing w:line="276" w:lineRule="auto"/>
        <w:ind w:left="709" w:firstLine="0"/>
        <w:rPr>
          <w:rFonts w:ascii="Times New Roman" w:hAnsi="Times New Roman" w:cs="Times New Roman"/>
          <w:sz w:val="20"/>
          <w:lang w:val="en-US"/>
        </w:rPr>
      </w:pPr>
      <w:r w:rsidRPr="0062425D">
        <w:rPr>
          <w:rFonts w:ascii="Times New Roman" w:hAnsi="Times New Roman" w:cs="Times New Roman"/>
          <w:sz w:val="20"/>
        </w:rPr>
        <w:t xml:space="preserve">Sehingga berdasarkan penjelasan dari pasal tersebut dapat diketahui bahwa </w:t>
      </w:r>
      <w:r w:rsidR="0037406C" w:rsidRPr="0062425D">
        <w:rPr>
          <w:rFonts w:ascii="Times New Roman" w:hAnsi="Times New Roman" w:cs="Times New Roman"/>
          <w:sz w:val="20"/>
          <w:lang w:val="en-US"/>
        </w:rPr>
        <w:t xml:space="preserve"> sengketa yang terjadi telah ada pada cakupan rezim UU </w:t>
      </w:r>
      <w:r w:rsidR="00735726" w:rsidRPr="0062425D">
        <w:rPr>
          <w:rFonts w:ascii="Times New Roman" w:hAnsi="Times New Roman" w:cs="Times New Roman"/>
          <w:sz w:val="20"/>
        </w:rPr>
        <w:t>Pertambangan</w:t>
      </w:r>
      <w:r w:rsidR="0037406C" w:rsidRPr="0062425D">
        <w:rPr>
          <w:rFonts w:ascii="Times New Roman" w:hAnsi="Times New Roman" w:cs="Times New Roman"/>
          <w:sz w:val="20"/>
          <w:lang w:val="en-US"/>
        </w:rPr>
        <w:t xml:space="preserve"> dengan peraturan pelaksananya yang berlaku dan tak lagi memandang ketentuan UU No. 11/1967 serta peraturan-peraturan pelaksana dari UU No. 11/1967. </w:t>
      </w:r>
    </w:p>
    <w:p w14:paraId="4B455EE1" w14:textId="77777777" w:rsidR="0037406C" w:rsidRPr="0062425D" w:rsidRDefault="0037406C" w:rsidP="0062425D">
      <w:pPr>
        <w:pStyle w:val="PH2"/>
        <w:spacing w:line="276" w:lineRule="auto"/>
        <w:ind w:left="709"/>
        <w:rPr>
          <w:rFonts w:ascii="Times New Roman" w:hAnsi="Times New Roman" w:cs="Times New Roman"/>
          <w:sz w:val="20"/>
          <w:lang w:val="en-US"/>
        </w:rPr>
      </w:pPr>
      <w:r w:rsidRPr="0062425D">
        <w:rPr>
          <w:rFonts w:ascii="Times New Roman" w:hAnsi="Times New Roman" w:cs="Times New Roman"/>
          <w:sz w:val="20"/>
          <w:lang w:val="en-US"/>
        </w:rPr>
        <w:t xml:space="preserve">Tanah yang digunakan dalam kegiatan pertambangan dapat berupa tanah hak milik, hak guna bangunan, hak guna usaha, hak pakai, ataupun hak adat. Dalam Putusan MA No. 47 K/TUN/2020 tidak disebutkan mengenai hak atas tanah apa yang melekat pada saat IUP diterbitkan, dengan demikian dapat diasumsikan </w:t>
      </w:r>
      <w:r w:rsidRPr="0062425D">
        <w:rPr>
          <w:rFonts w:ascii="Times New Roman" w:hAnsi="Times New Roman" w:cs="Times New Roman"/>
          <w:sz w:val="20"/>
          <w:lang w:val="en-US"/>
        </w:rPr>
        <w:lastRenderedPageBreak/>
        <w:t>jika tanah tersebut masih merupakan tanah negara. Jika melihat ketentuan dalam UU No. 11/1967, konsensi antara pemilik usaha tambang dan pemilik hak atas tanah diatur dalam beberapa pasal di dalamnya dan beberapa peraturan turunan. Dalil-dalil tersebut diantaranya:</w:t>
      </w:r>
    </w:p>
    <w:p w14:paraId="3F55B8ED" w14:textId="77777777" w:rsidR="0037406C" w:rsidRPr="0062425D" w:rsidRDefault="0037406C" w:rsidP="0062425D">
      <w:pPr>
        <w:pStyle w:val="PH2"/>
        <w:spacing w:line="276" w:lineRule="auto"/>
        <w:rPr>
          <w:rFonts w:ascii="Times New Roman" w:hAnsi="Times New Roman" w:cs="Times New Roman"/>
          <w:sz w:val="20"/>
          <w:lang w:val="en-US"/>
        </w:rPr>
      </w:pPr>
      <w:r w:rsidRPr="0062425D">
        <w:rPr>
          <w:rFonts w:ascii="Times New Roman" w:hAnsi="Times New Roman" w:cs="Times New Roman"/>
          <w:sz w:val="20"/>
          <w:lang w:val="en-US"/>
        </w:rPr>
        <w:t>Pasal 26 UU No. 11/1967</w:t>
      </w:r>
    </w:p>
    <w:p w14:paraId="56A4381C" w14:textId="1EC192EA" w:rsidR="0037406C" w:rsidRPr="0062425D" w:rsidRDefault="0037406C" w:rsidP="0062425D">
      <w:pPr>
        <w:pStyle w:val="PH2"/>
        <w:spacing w:after="120" w:line="276" w:lineRule="auto"/>
        <w:ind w:left="1134" w:firstLine="0"/>
        <w:rPr>
          <w:rFonts w:ascii="Times New Roman" w:hAnsi="Times New Roman" w:cs="Times New Roman"/>
          <w:sz w:val="20"/>
        </w:rPr>
      </w:pPr>
      <w:r w:rsidRPr="0062425D">
        <w:rPr>
          <w:rFonts w:ascii="Times New Roman" w:hAnsi="Times New Roman" w:cs="Times New Roman"/>
          <w:sz w:val="20"/>
          <w:lang w:val="en-US"/>
        </w:rPr>
        <w:t>“</w:t>
      </w:r>
      <w:r w:rsidRPr="0062425D">
        <w:rPr>
          <w:rFonts w:ascii="Times New Roman" w:hAnsi="Times New Roman" w:cs="Times New Roman"/>
          <w:b/>
          <w:bCs/>
          <w:sz w:val="20"/>
          <w:lang w:val="en-US"/>
        </w:rPr>
        <w:t>Apabila telah didapat izin kuasa pertambangan</w:t>
      </w:r>
      <w:r w:rsidRPr="0062425D">
        <w:rPr>
          <w:rFonts w:ascii="Times New Roman" w:hAnsi="Times New Roman" w:cs="Times New Roman"/>
          <w:sz w:val="20"/>
          <w:lang w:val="en-US"/>
        </w:rPr>
        <w:t xml:space="preserve"> atas suatu daerah atau wilayah menuruh hukum yang berlaku, maka </w:t>
      </w:r>
      <w:r w:rsidRPr="0062425D">
        <w:rPr>
          <w:rFonts w:ascii="Times New Roman" w:hAnsi="Times New Roman" w:cs="Times New Roman"/>
          <w:b/>
          <w:bCs/>
          <w:sz w:val="20"/>
          <w:lang w:val="en-US"/>
        </w:rPr>
        <w:t>kepada mereka yang berhak atas tanah diwajibkan memperbolehkan</w:t>
      </w:r>
      <w:r w:rsidRPr="0062425D">
        <w:rPr>
          <w:rFonts w:ascii="Times New Roman" w:hAnsi="Times New Roman" w:cs="Times New Roman"/>
          <w:sz w:val="20"/>
          <w:lang w:val="en-US"/>
        </w:rPr>
        <w:t xml:space="preserve"> pekerjaan pemegang kuasa pertambangan atas tanah yang bersangkutan </w:t>
      </w:r>
      <w:r w:rsidRPr="0062425D">
        <w:rPr>
          <w:rFonts w:ascii="Times New Roman" w:hAnsi="Times New Roman" w:cs="Times New Roman"/>
          <w:b/>
          <w:bCs/>
          <w:sz w:val="20"/>
          <w:lang w:val="en-US"/>
        </w:rPr>
        <w:t>atas dasar mufakat kepadanya</w:t>
      </w:r>
      <w:r w:rsidR="008E2C91" w:rsidRPr="0062425D">
        <w:rPr>
          <w:rFonts w:ascii="Times New Roman" w:hAnsi="Times New Roman" w:cs="Times New Roman"/>
          <w:b/>
          <w:bCs/>
          <w:sz w:val="20"/>
        </w:rPr>
        <w:t>.</w:t>
      </w:r>
      <w:r w:rsidRPr="0062425D">
        <w:rPr>
          <w:rFonts w:ascii="Times New Roman" w:hAnsi="Times New Roman" w:cs="Times New Roman"/>
          <w:sz w:val="20"/>
          <w:lang w:val="en-US"/>
        </w:rPr>
        <w:t>”</w:t>
      </w:r>
      <w:r w:rsidR="00735726" w:rsidRPr="0062425D">
        <w:rPr>
          <w:rFonts w:ascii="Times New Roman" w:hAnsi="Times New Roman" w:cs="Times New Roman"/>
          <w:sz w:val="20"/>
        </w:rPr>
        <w:t xml:space="preserve"> </w:t>
      </w:r>
      <w:r w:rsidR="00735726" w:rsidRPr="0062425D">
        <w:rPr>
          <w:rFonts w:ascii="Times New Roman" w:hAnsi="Times New Roman" w:cs="Times New Roman"/>
          <w:sz w:val="20"/>
        </w:rPr>
        <w:fldChar w:fldCharType="begin" w:fldLock="1"/>
      </w:r>
      <w:r w:rsidR="00735726" w:rsidRPr="0062425D">
        <w:rPr>
          <w:rFonts w:ascii="Times New Roman" w:hAnsi="Times New Roman" w:cs="Times New Roman"/>
          <w:sz w:val="20"/>
        </w:rPr>
        <w:instrText>ADDIN CSL_CITATION {"citationItems":[{"id":"ITEM-1","itemData":{"author":[{"dropping-particle":"","family":"Indonesia","given":"","non-dropping-particle":"","parse-names":false,"suffix":""}],"id":"ITEM-1","issued":{"date-parts":[["1967"]]},"title":"Undang-Undang Nomor 11 Tahun 1967 tentang Ketentuan-Ketentuan Pokok Pertambangan (LN No.22 Tahun 1967, TLN No. 2831)","type":"legislation"},"uris":["http://www.mendeley.com/documents/?uuid=60378b55-9741-40ff-8a6c-187834c4ccfb"]}],"mendeley":{"formattedCitation":"(Indonesia 1967)","plainTextFormattedCitation":"(Indonesia 1967)","previouslyFormattedCitation":"(Indonesia 1967)"},"properties":{"noteIndex":0},"schema":"https://github.com/citation-style-language/schema/raw/master/csl-citation.json"}</w:instrText>
      </w:r>
      <w:r w:rsidR="00735726" w:rsidRPr="0062425D">
        <w:rPr>
          <w:rFonts w:ascii="Times New Roman" w:hAnsi="Times New Roman" w:cs="Times New Roman"/>
          <w:sz w:val="20"/>
        </w:rPr>
        <w:fldChar w:fldCharType="separate"/>
      </w:r>
      <w:r w:rsidR="00735726" w:rsidRPr="0062425D">
        <w:rPr>
          <w:rFonts w:ascii="Times New Roman" w:hAnsi="Times New Roman" w:cs="Times New Roman"/>
          <w:noProof/>
          <w:sz w:val="20"/>
        </w:rPr>
        <w:t>(Indonesia 1967)</w:t>
      </w:r>
      <w:r w:rsidR="00735726" w:rsidRPr="0062425D">
        <w:rPr>
          <w:rFonts w:ascii="Times New Roman" w:hAnsi="Times New Roman" w:cs="Times New Roman"/>
          <w:sz w:val="20"/>
        </w:rPr>
        <w:fldChar w:fldCharType="end"/>
      </w:r>
    </w:p>
    <w:p w14:paraId="7509661B" w14:textId="77777777" w:rsidR="0037406C" w:rsidRPr="0062425D" w:rsidRDefault="0037406C" w:rsidP="0062425D">
      <w:pPr>
        <w:pStyle w:val="PH2"/>
        <w:spacing w:line="276" w:lineRule="auto"/>
        <w:ind w:left="709"/>
        <w:rPr>
          <w:rFonts w:ascii="Times New Roman" w:hAnsi="Times New Roman" w:cs="Times New Roman"/>
          <w:sz w:val="20"/>
          <w:lang w:val="en-US"/>
        </w:rPr>
      </w:pPr>
      <w:r w:rsidRPr="0062425D">
        <w:rPr>
          <w:rFonts w:ascii="Times New Roman" w:hAnsi="Times New Roman" w:cs="Times New Roman"/>
          <w:sz w:val="20"/>
          <w:lang w:val="en-US"/>
        </w:rPr>
        <w:t>Dapat dimaknai dari ketentuan tersebut jika usaha pertambangan (IUP) harus melalui kesepakatan dengan pemegang hak atas tanah. Jika tidak terjadi kesepakatan maka berpedoman pada ketentuan Pasal 27 ayat (2) UU No. 11/1967 yang berbunyi:</w:t>
      </w:r>
    </w:p>
    <w:p w14:paraId="049F1525" w14:textId="2F82379B" w:rsidR="0037406C" w:rsidRPr="0062425D" w:rsidRDefault="0037406C" w:rsidP="0062425D">
      <w:pPr>
        <w:pStyle w:val="PH2"/>
        <w:spacing w:after="120" w:line="276" w:lineRule="auto"/>
        <w:ind w:left="1134" w:firstLine="0"/>
        <w:rPr>
          <w:rFonts w:ascii="Times New Roman" w:hAnsi="Times New Roman" w:cs="Times New Roman"/>
          <w:sz w:val="20"/>
        </w:rPr>
      </w:pPr>
      <w:r w:rsidRPr="0062425D">
        <w:rPr>
          <w:rFonts w:ascii="Times New Roman" w:hAnsi="Times New Roman" w:cs="Times New Roman"/>
          <w:sz w:val="20"/>
          <w:lang w:val="en-US"/>
        </w:rPr>
        <w:t xml:space="preserve">“Jika yang bersangkutan </w:t>
      </w:r>
      <w:r w:rsidRPr="0062425D">
        <w:rPr>
          <w:rFonts w:ascii="Times New Roman" w:hAnsi="Times New Roman" w:cs="Times New Roman"/>
          <w:b/>
          <w:bCs/>
          <w:sz w:val="20"/>
          <w:lang w:val="en-US"/>
        </w:rPr>
        <w:t>tidak dapat mencapai kata mufakat</w:t>
      </w:r>
      <w:r w:rsidRPr="0062425D">
        <w:rPr>
          <w:rFonts w:ascii="Times New Roman" w:hAnsi="Times New Roman" w:cs="Times New Roman"/>
          <w:sz w:val="20"/>
          <w:lang w:val="en-US"/>
        </w:rPr>
        <w:t xml:space="preserve"> tentang ganti rugi sebagaimana dimaksud pada ayat (1) pasal ini, maka </w:t>
      </w:r>
      <w:r w:rsidRPr="0062425D">
        <w:rPr>
          <w:rFonts w:ascii="Times New Roman" w:hAnsi="Times New Roman" w:cs="Times New Roman"/>
          <w:b/>
          <w:bCs/>
          <w:sz w:val="20"/>
          <w:lang w:val="en-US"/>
        </w:rPr>
        <w:t>penentuannya diserahkan kepada menteri</w:t>
      </w:r>
      <w:r w:rsidR="008E2C91" w:rsidRPr="0062425D">
        <w:rPr>
          <w:rFonts w:ascii="Times New Roman" w:hAnsi="Times New Roman" w:cs="Times New Roman"/>
          <w:b/>
          <w:bCs/>
          <w:sz w:val="20"/>
        </w:rPr>
        <w:t>.</w:t>
      </w:r>
      <w:r w:rsidRPr="0062425D">
        <w:rPr>
          <w:rFonts w:ascii="Times New Roman" w:hAnsi="Times New Roman" w:cs="Times New Roman"/>
          <w:sz w:val="20"/>
          <w:lang w:val="en-US"/>
        </w:rPr>
        <w:t>”</w:t>
      </w:r>
      <w:r w:rsidR="00735726" w:rsidRPr="0062425D">
        <w:rPr>
          <w:rFonts w:ascii="Times New Roman" w:hAnsi="Times New Roman" w:cs="Times New Roman"/>
          <w:sz w:val="20"/>
        </w:rPr>
        <w:t xml:space="preserve"> </w:t>
      </w:r>
      <w:r w:rsidR="00735726" w:rsidRPr="0062425D">
        <w:rPr>
          <w:rFonts w:ascii="Times New Roman" w:hAnsi="Times New Roman" w:cs="Times New Roman"/>
          <w:sz w:val="20"/>
        </w:rPr>
        <w:fldChar w:fldCharType="begin" w:fldLock="1"/>
      </w:r>
      <w:r w:rsidR="00735726" w:rsidRPr="0062425D">
        <w:rPr>
          <w:rFonts w:ascii="Times New Roman" w:hAnsi="Times New Roman" w:cs="Times New Roman"/>
          <w:sz w:val="20"/>
        </w:rPr>
        <w:instrText>ADDIN CSL_CITATION {"citationItems":[{"id":"ITEM-1","itemData":{"author":[{"dropping-particle":"","family":"Indonesia","given":"","non-dropping-particle":"","parse-names":false,"suffix":""}],"id":"ITEM-1","issued":{"date-parts":[["1967"]]},"title":"Undang-Undang Nomor 11 Tahun 1967 tentang Ketentuan-Ketentuan Pokok Pertambangan (LN No.22 Tahun 1967, TLN No. 2831)","type":"legislation"},"uris":["http://www.mendeley.com/documents/?uuid=60378b55-9741-40ff-8a6c-187834c4ccfb"]}],"mendeley":{"formattedCitation":"(Indonesia 1967)","plainTextFormattedCitation":"(Indonesia 1967)","previouslyFormattedCitation":"(Indonesia 1967)"},"properties":{"noteIndex":0},"schema":"https://github.com/citation-style-language/schema/raw/master/csl-citation.json"}</w:instrText>
      </w:r>
      <w:r w:rsidR="00735726" w:rsidRPr="0062425D">
        <w:rPr>
          <w:rFonts w:ascii="Times New Roman" w:hAnsi="Times New Roman" w:cs="Times New Roman"/>
          <w:sz w:val="20"/>
        </w:rPr>
        <w:fldChar w:fldCharType="separate"/>
      </w:r>
      <w:r w:rsidR="00735726" w:rsidRPr="0062425D">
        <w:rPr>
          <w:rFonts w:ascii="Times New Roman" w:hAnsi="Times New Roman" w:cs="Times New Roman"/>
          <w:noProof/>
          <w:sz w:val="20"/>
        </w:rPr>
        <w:t>(Indonesia 1967)</w:t>
      </w:r>
      <w:r w:rsidR="00735726" w:rsidRPr="0062425D">
        <w:rPr>
          <w:rFonts w:ascii="Times New Roman" w:hAnsi="Times New Roman" w:cs="Times New Roman"/>
          <w:sz w:val="20"/>
        </w:rPr>
        <w:fldChar w:fldCharType="end"/>
      </w:r>
    </w:p>
    <w:p w14:paraId="65FADF2A" w14:textId="77777777" w:rsidR="0037406C" w:rsidRPr="0062425D" w:rsidRDefault="0037406C" w:rsidP="0062425D">
      <w:pPr>
        <w:pStyle w:val="PH2"/>
        <w:spacing w:line="276" w:lineRule="auto"/>
        <w:ind w:left="709"/>
        <w:rPr>
          <w:rFonts w:ascii="Times New Roman" w:hAnsi="Times New Roman" w:cs="Times New Roman"/>
          <w:sz w:val="20"/>
          <w:lang w:val="en-US"/>
        </w:rPr>
      </w:pPr>
      <w:r w:rsidRPr="0062425D">
        <w:rPr>
          <w:rFonts w:ascii="Times New Roman" w:hAnsi="Times New Roman" w:cs="Times New Roman"/>
          <w:sz w:val="20"/>
          <w:lang w:val="en-US"/>
        </w:rPr>
        <w:t>Memang baik dalam pasal atau UU tersebut secara keseluruhan penentuan besaran ganti rugi (untuk mufakat) ditentukan oleh menteri, namun dengan berlakunya Peraturan Pemerintah Nomor 75 Tahun 2001 tentang Perubahan II atas Peraturan Pemerintah Nomor 32 Tahun 1969, penyelesaian tentang besarnya ganti rugi diserahkan kepada bupati/walikota, gubernur, menteri sesuai dengan kewenangannya. Berkaitan dengan sarana dalam penyelesaian sengketa tetap berpedoman pada Pasal 27 ayat (3) UU No. 11/1967 yang berbunyi:</w:t>
      </w:r>
    </w:p>
    <w:p w14:paraId="64504D56" w14:textId="7AFA50CC" w:rsidR="0037406C" w:rsidRPr="0062425D" w:rsidRDefault="0037406C" w:rsidP="0062425D">
      <w:pPr>
        <w:pStyle w:val="PH2"/>
        <w:spacing w:after="120" w:line="276" w:lineRule="auto"/>
        <w:ind w:left="1134" w:firstLine="0"/>
        <w:rPr>
          <w:rFonts w:ascii="Times New Roman" w:hAnsi="Times New Roman" w:cs="Times New Roman"/>
          <w:sz w:val="20"/>
        </w:rPr>
      </w:pPr>
      <w:r w:rsidRPr="0062425D">
        <w:rPr>
          <w:rFonts w:ascii="Times New Roman" w:hAnsi="Times New Roman" w:cs="Times New Roman"/>
          <w:sz w:val="20"/>
          <w:lang w:val="en-US"/>
        </w:rPr>
        <w:t>“</w:t>
      </w:r>
      <w:r w:rsidRPr="0062425D">
        <w:rPr>
          <w:rFonts w:ascii="Times New Roman" w:hAnsi="Times New Roman" w:cs="Times New Roman"/>
          <w:sz w:val="20"/>
        </w:rPr>
        <w:t xml:space="preserve">Jika yang bersangkutan </w:t>
      </w:r>
      <w:r w:rsidRPr="0062425D">
        <w:rPr>
          <w:rFonts w:ascii="Times New Roman" w:hAnsi="Times New Roman" w:cs="Times New Roman"/>
          <w:b/>
          <w:bCs/>
          <w:sz w:val="20"/>
        </w:rPr>
        <w:t>tidak dapat menerima penentuan Menteri tentang ganti rugi</w:t>
      </w:r>
      <w:r w:rsidRPr="0062425D">
        <w:rPr>
          <w:rFonts w:ascii="Times New Roman" w:hAnsi="Times New Roman" w:cs="Times New Roman"/>
          <w:sz w:val="20"/>
        </w:rPr>
        <w:t xml:space="preserve"> sebagaimana dimaksud pada ayat (2) pasal ini, maka penentuannya </w:t>
      </w:r>
      <w:r w:rsidRPr="0062425D">
        <w:rPr>
          <w:rFonts w:ascii="Times New Roman" w:hAnsi="Times New Roman" w:cs="Times New Roman"/>
          <w:b/>
          <w:bCs/>
          <w:sz w:val="20"/>
        </w:rPr>
        <w:t>diserahkan kepada Pengadilan Negeri</w:t>
      </w:r>
      <w:r w:rsidRPr="0062425D">
        <w:rPr>
          <w:rFonts w:ascii="Times New Roman" w:hAnsi="Times New Roman" w:cs="Times New Roman"/>
          <w:sz w:val="20"/>
        </w:rPr>
        <w:t xml:space="preserve"> yang daerah hukumnya meliputi daerah/wilayah yang bersangkutan.</w:t>
      </w:r>
      <w:r w:rsidRPr="0062425D">
        <w:rPr>
          <w:rFonts w:ascii="Times New Roman" w:hAnsi="Times New Roman" w:cs="Times New Roman"/>
          <w:sz w:val="20"/>
          <w:lang w:val="en-US"/>
        </w:rPr>
        <w:t>”</w:t>
      </w:r>
      <w:r w:rsidR="00735726" w:rsidRPr="0062425D">
        <w:rPr>
          <w:rFonts w:ascii="Times New Roman" w:hAnsi="Times New Roman" w:cs="Times New Roman"/>
          <w:sz w:val="20"/>
        </w:rPr>
        <w:t xml:space="preserve"> </w:t>
      </w:r>
      <w:r w:rsidR="00735726" w:rsidRPr="0062425D">
        <w:rPr>
          <w:rFonts w:ascii="Times New Roman" w:hAnsi="Times New Roman" w:cs="Times New Roman"/>
          <w:sz w:val="20"/>
        </w:rPr>
        <w:fldChar w:fldCharType="begin" w:fldLock="1"/>
      </w:r>
      <w:r w:rsidR="00C93F1C" w:rsidRPr="0062425D">
        <w:rPr>
          <w:rFonts w:ascii="Times New Roman" w:hAnsi="Times New Roman" w:cs="Times New Roman"/>
          <w:sz w:val="20"/>
        </w:rPr>
        <w:instrText>ADDIN CSL_CITATION {"citationItems":[{"id":"ITEM-1","itemData":{"author":[{"dropping-particle":"","family":"Indonesia","given":"","non-dropping-particle":"","parse-names":false,"suffix":""}],"id":"ITEM-1","issued":{"date-parts":[["1967"]]},"title":"Undang-Undang Nomor 11 Tahun 1967 tentang Ketentuan-Ketentuan Pokok Pertambangan (LN No.22 Tahun 1967, TLN No. 2831)","type":"legislation"},"uris":["http://www.mendeley.com/documents/?uuid=60378b55-9741-40ff-8a6c-187834c4ccfb"]}],"mendeley":{"formattedCitation":"(Indonesia 1967)","plainTextFormattedCitation":"(Indonesia 1967)","previouslyFormattedCitation":"(Indonesia 1967)"},"properties":{"noteIndex":0},"schema":"https://github.com/citation-style-language/schema/raw/master/csl-citation.json"}</w:instrText>
      </w:r>
      <w:r w:rsidR="00735726" w:rsidRPr="0062425D">
        <w:rPr>
          <w:rFonts w:ascii="Times New Roman" w:hAnsi="Times New Roman" w:cs="Times New Roman"/>
          <w:sz w:val="20"/>
        </w:rPr>
        <w:fldChar w:fldCharType="separate"/>
      </w:r>
      <w:r w:rsidR="00735726" w:rsidRPr="0062425D">
        <w:rPr>
          <w:rFonts w:ascii="Times New Roman" w:hAnsi="Times New Roman" w:cs="Times New Roman"/>
          <w:noProof/>
          <w:sz w:val="20"/>
        </w:rPr>
        <w:t>(Indonesia 1967)</w:t>
      </w:r>
      <w:r w:rsidR="00735726" w:rsidRPr="0062425D">
        <w:rPr>
          <w:rFonts w:ascii="Times New Roman" w:hAnsi="Times New Roman" w:cs="Times New Roman"/>
          <w:sz w:val="20"/>
        </w:rPr>
        <w:fldChar w:fldCharType="end"/>
      </w:r>
    </w:p>
    <w:p w14:paraId="77B3B87A" w14:textId="7E060470" w:rsidR="0037406C" w:rsidRPr="0062425D" w:rsidRDefault="0037406C" w:rsidP="0062425D">
      <w:pPr>
        <w:pStyle w:val="PH2"/>
        <w:spacing w:line="276" w:lineRule="auto"/>
        <w:ind w:left="709"/>
        <w:rPr>
          <w:rFonts w:ascii="Times New Roman" w:hAnsi="Times New Roman" w:cs="Times New Roman"/>
          <w:sz w:val="20"/>
          <w:lang w:val="en-US"/>
        </w:rPr>
      </w:pPr>
      <w:r w:rsidRPr="0062425D">
        <w:rPr>
          <w:rFonts w:ascii="Times New Roman" w:hAnsi="Times New Roman" w:cs="Times New Roman"/>
          <w:sz w:val="20"/>
          <w:lang w:val="en-US"/>
        </w:rPr>
        <w:t xml:space="preserve">Telah diketahui jika memang dalam UU No. 11/1967 diatur jelas terhadap penyelesaian sengketa IUP (dahulu Kuasa Pertambangan). </w:t>
      </w:r>
      <w:r w:rsidRPr="0062425D">
        <w:rPr>
          <w:rFonts w:ascii="Times New Roman" w:hAnsi="Times New Roman" w:cs="Times New Roman"/>
          <w:sz w:val="20"/>
          <w:lang w:val="en-US"/>
        </w:rPr>
        <w:lastRenderedPageBreak/>
        <w:t xml:space="preserve">UU </w:t>
      </w:r>
      <w:r w:rsidR="00735726" w:rsidRPr="0062425D">
        <w:rPr>
          <w:rFonts w:ascii="Times New Roman" w:hAnsi="Times New Roman" w:cs="Times New Roman"/>
          <w:sz w:val="20"/>
        </w:rPr>
        <w:t>Pertambangan</w:t>
      </w:r>
      <w:r w:rsidRPr="0062425D">
        <w:rPr>
          <w:rFonts w:ascii="Times New Roman" w:hAnsi="Times New Roman" w:cs="Times New Roman"/>
          <w:sz w:val="20"/>
          <w:lang w:val="en-US"/>
        </w:rPr>
        <w:t xml:space="preserve"> beserta aturan turunannya tidak mengatur mengenai bagaimana penyelesaian sengketa atas tidak bertemunya mufakat antara pemilik IUP dengan pemegang hak atas tanah. UU </w:t>
      </w:r>
      <w:r w:rsidR="00735726" w:rsidRPr="0062425D">
        <w:rPr>
          <w:rFonts w:ascii="Times New Roman" w:hAnsi="Times New Roman" w:cs="Times New Roman"/>
          <w:sz w:val="20"/>
        </w:rPr>
        <w:t>Pertambangan</w:t>
      </w:r>
      <w:r w:rsidRPr="0062425D">
        <w:rPr>
          <w:rFonts w:ascii="Times New Roman" w:hAnsi="Times New Roman" w:cs="Times New Roman"/>
          <w:sz w:val="20"/>
          <w:lang w:val="en-US"/>
        </w:rPr>
        <w:t xml:space="preserve"> hanya menyinggung ganti rugi hanya pada penguasahaan pertambangan yang menyalahi ketentuan, bukan perihal tidak terjadinya mufakat, sebagaimana disebutkan pada Pasal 145 ayat (1) yang berbunyi:</w:t>
      </w:r>
    </w:p>
    <w:p w14:paraId="44B9112A" w14:textId="77777777" w:rsidR="0037406C" w:rsidRPr="0062425D" w:rsidRDefault="0037406C" w:rsidP="0062425D">
      <w:pPr>
        <w:pStyle w:val="PH2"/>
        <w:spacing w:line="276" w:lineRule="auto"/>
        <w:ind w:left="1134" w:firstLine="0"/>
        <w:rPr>
          <w:rFonts w:ascii="Times New Roman" w:hAnsi="Times New Roman" w:cs="Times New Roman"/>
          <w:sz w:val="20"/>
        </w:rPr>
      </w:pPr>
      <w:r w:rsidRPr="0062425D">
        <w:rPr>
          <w:rFonts w:ascii="Times New Roman" w:hAnsi="Times New Roman" w:cs="Times New Roman"/>
          <w:sz w:val="20"/>
          <w:lang w:val="en-US"/>
        </w:rPr>
        <w:t xml:space="preserve">“(1) </w:t>
      </w:r>
      <w:r w:rsidRPr="0062425D">
        <w:rPr>
          <w:rFonts w:ascii="Times New Roman" w:hAnsi="Times New Roman" w:cs="Times New Roman"/>
          <w:sz w:val="20"/>
        </w:rPr>
        <w:t xml:space="preserve">Masyarakat yang terkena dampak negatif langsung dari kegiatan usaha pertambangan berhak: </w:t>
      </w:r>
    </w:p>
    <w:p w14:paraId="0AD440DE" w14:textId="77777777" w:rsidR="0037406C" w:rsidRPr="0062425D" w:rsidRDefault="0037406C" w:rsidP="0062425D">
      <w:pPr>
        <w:pStyle w:val="PH2"/>
        <w:spacing w:line="276" w:lineRule="auto"/>
        <w:ind w:left="1456" w:hanging="322"/>
        <w:rPr>
          <w:rFonts w:ascii="Times New Roman" w:hAnsi="Times New Roman" w:cs="Times New Roman"/>
          <w:sz w:val="20"/>
        </w:rPr>
      </w:pPr>
      <w:r w:rsidRPr="0062425D">
        <w:rPr>
          <w:rFonts w:ascii="Times New Roman" w:hAnsi="Times New Roman" w:cs="Times New Roman"/>
          <w:sz w:val="20"/>
        </w:rPr>
        <w:t xml:space="preserve">a. memperoleh ganti rugi yang layak akibat kesalahan dalam pengusahaan kegiatan pertambangan sesuai dengan ketentuan peraturan perundang-undangan. </w:t>
      </w:r>
    </w:p>
    <w:p w14:paraId="0BC93881" w14:textId="73326E63" w:rsidR="0037406C" w:rsidRPr="0062425D" w:rsidRDefault="0037406C" w:rsidP="0062425D">
      <w:pPr>
        <w:pStyle w:val="PH2"/>
        <w:spacing w:after="120" w:line="276" w:lineRule="auto"/>
        <w:ind w:left="1457" w:hanging="323"/>
        <w:rPr>
          <w:rFonts w:ascii="Times New Roman" w:hAnsi="Times New Roman" w:cs="Times New Roman"/>
          <w:sz w:val="20"/>
        </w:rPr>
      </w:pPr>
      <w:r w:rsidRPr="0062425D">
        <w:rPr>
          <w:rFonts w:ascii="Times New Roman" w:hAnsi="Times New Roman" w:cs="Times New Roman"/>
          <w:sz w:val="20"/>
        </w:rPr>
        <w:t xml:space="preserve">b. mengajukan gugatan kepada pengadilan terhadap kerugian akibat pengusahaan </w:t>
      </w:r>
      <w:r w:rsidRPr="0062425D">
        <w:rPr>
          <w:rFonts w:ascii="Times New Roman" w:hAnsi="Times New Roman" w:cs="Times New Roman"/>
          <w:b/>
          <w:bCs/>
          <w:sz w:val="20"/>
        </w:rPr>
        <w:t>pertambangan yang menyalahi ketentuan.</w:t>
      </w:r>
      <w:r w:rsidRPr="0062425D">
        <w:rPr>
          <w:rFonts w:ascii="Times New Roman" w:hAnsi="Times New Roman" w:cs="Times New Roman"/>
          <w:b/>
          <w:bCs/>
          <w:sz w:val="20"/>
          <w:lang w:val="en-US"/>
        </w:rPr>
        <w:t>”</w:t>
      </w:r>
      <w:r w:rsidR="002468B6" w:rsidRPr="0062425D">
        <w:rPr>
          <w:rFonts w:ascii="Times New Roman" w:hAnsi="Times New Roman" w:cs="Times New Roman"/>
          <w:b/>
          <w:bCs/>
          <w:sz w:val="20"/>
        </w:rPr>
        <w:t xml:space="preserve"> </w:t>
      </w:r>
      <w:r w:rsidR="002468B6" w:rsidRPr="0062425D">
        <w:rPr>
          <w:rFonts w:ascii="Times New Roman" w:hAnsi="Times New Roman" w:cs="Times New Roman"/>
          <w:b/>
          <w:bCs/>
          <w:sz w:val="20"/>
        </w:rPr>
        <w:fldChar w:fldCharType="begin" w:fldLock="1"/>
      </w:r>
      <w:r w:rsidR="002468B6" w:rsidRPr="0062425D">
        <w:rPr>
          <w:rFonts w:ascii="Times New Roman" w:hAnsi="Times New Roman" w:cs="Times New Roman"/>
          <w:b/>
          <w:bCs/>
          <w:sz w:val="20"/>
        </w:rPr>
        <w:instrText>ADDIN CSL_CITATION {"citationItems":[{"id":"ITEM-1","itemData":{"author":[{"dropping-particle":"","family":"Indonesia","given":"","non-dropping-particle":"","parse-names":false,"suffix":""}],"id":"ITEM-1","issued":{"date-parts":[["2009"]]},"title":"Undang-Undang Nomor 4 Tahun 2009 tentang Pertambangan Mineral dan Batubara (LN No. 4 Tahun 2009, TLN No. 4959)","type":"legislation"},"uris":["http://www.mendeley.com/documents/?uuid=03d097b4-320d-4ad5-9a06-b6e5d1c614e0"]}],"mendeley":{"formattedCitation":"(Indonesia 2009)","plainTextFormattedCitation":"(Indonesia 2009)","previouslyFormattedCitation":"(Indonesia 2009)"},"properties":{"noteIndex":0},"schema":"https://github.com/citation-style-language/schema/raw/master/csl-citation.json"}</w:instrText>
      </w:r>
      <w:r w:rsidR="002468B6" w:rsidRPr="0062425D">
        <w:rPr>
          <w:rFonts w:ascii="Times New Roman" w:hAnsi="Times New Roman" w:cs="Times New Roman"/>
          <w:b/>
          <w:bCs/>
          <w:sz w:val="20"/>
        </w:rPr>
        <w:fldChar w:fldCharType="separate"/>
      </w:r>
      <w:r w:rsidR="002468B6" w:rsidRPr="0062425D">
        <w:rPr>
          <w:rFonts w:ascii="Times New Roman" w:hAnsi="Times New Roman" w:cs="Times New Roman"/>
          <w:bCs/>
          <w:noProof/>
          <w:sz w:val="20"/>
        </w:rPr>
        <w:t>(Indonesia 2009)</w:t>
      </w:r>
      <w:r w:rsidR="002468B6" w:rsidRPr="0062425D">
        <w:rPr>
          <w:rFonts w:ascii="Times New Roman" w:hAnsi="Times New Roman" w:cs="Times New Roman"/>
          <w:b/>
          <w:bCs/>
          <w:sz w:val="20"/>
        </w:rPr>
        <w:fldChar w:fldCharType="end"/>
      </w:r>
    </w:p>
    <w:p w14:paraId="37507BAC" w14:textId="77777777" w:rsidR="0037406C" w:rsidRPr="0062425D" w:rsidRDefault="0037406C" w:rsidP="0062425D">
      <w:pPr>
        <w:pStyle w:val="PH2"/>
        <w:spacing w:line="276" w:lineRule="auto"/>
        <w:ind w:left="709"/>
        <w:rPr>
          <w:rFonts w:ascii="Times New Roman" w:hAnsi="Times New Roman" w:cs="Times New Roman"/>
          <w:sz w:val="20"/>
          <w:lang w:val="en-US"/>
        </w:rPr>
      </w:pPr>
      <w:r w:rsidRPr="0062425D">
        <w:rPr>
          <w:rFonts w:ascii="Times New Roman" w:hAnsi="Times New Roman" w:cs="Times New Roman"/>
          <w:sz w:val="20"/>
          <w:lang w:val="en-US"/>
        </w:rPr>
        <w:t>seharusnya Badan Pertanahan Nasional (dalam hal ini Kantor Pertanahan Kutai Kartanegara) yang menerbitkan SHGU objek sengketa dan Kementerian Energi dan Sumber Daya Mineral (dalam hal ini Dinas Pertambangan dan Energi Kabuapten Kutai Kartanegara) selaku pihak yang menerbitkan IUP telah seharusnya berkoordinasi. Proses usaha untuk menemukan mufakat antara PT. BAS selaku pemegang IUP dengan PT. SYB telah terjadi pada kurun waktu Kuartal I 2018 sebagaimana ditemukan dalam Putusan No. 17/G/2018/PTUN.SMD:</w:t>
      </w:r>
    </w:p>
    <w:p w14:paraId="25A54283" w14:textId="4910ED3E" w:rsidR="0037406C" w:rsidRPr="0062425D" w:rsidRDefault="0037406C" w:rsidP="0062425D">
      <w:pPr>
        <w:pStyle w:val="PH2"/>
        <w:spacing w:after="120" w:line="276" w:lineRule="auto"/>
        <w:ind w:left="1134" w:firstLine="0"/>
        <w:rPr>
          <w:rFonts w:ascii="Times New Roman" w:hAnsi="Times New Roman" w:cs="Times New Roman"/>
          <w:sz w:val="20"/>
          <w:lang w:val="en-US"/>
        </w:rPr>
      </w:pPr>
      <w:r w:rsidRPr="0062425D">
        <w:rPr>
          <w:rFonts w:ascii="Times New Roman" w:hAnsi="Times New Roman" w:cs="Times New Roman"/>
          <w:sz w:val="20"/>
          <w:lang w:val="en-US"/>
        </w:rPr>
        <w:t>“</w:t>
      </w:r>
      <w:r w:rsidRPr="0062425D">
        <w:rPr>
          <w:rFonts w:ascii="Times New Roman" w:hAnsi="Times New Roman" w:cs="Times New Roman"/>
          <w:sz w:val="20"/>
        </w:rPr>
        <w:t xml:space="preserve">Bahwa berdasarkan Berita Acara tanggal </w:t>
      </w:r>
      <w:r w:rsidRPr="0062425D">
        <w:rPr>
          <w:rFonts w:ascii="Times New Roman" w:hAnsi="Times New Roman" w:cs="Times New Roman"/>
          <w:b/>
          <w:bCs/>
          <w:sz w:val="20"/>
        </w:rPr>
        <w:t xml:space="preserve">5 Februari 2018 telah dilakukan rapat koordinasi </w:t>
      </w:r>
      <w:r w:rsidRPr="0062425D">
        <w:rPr>
          <w:rFonts w:ascii="Times New Roman" w:hAnsi="Times New Roman" w:cs="Times New Roman"/>
          <w:sz w:val="20"/>
        </w:rPr>
        <w:t>antara Penggugat,</w:t>
      </w:r>
      <w:r w:rsidRPr="0062425D">
        <w:rPr>
          <w:rFonts w:ascii="Times New Roman" w:hAnsi="Times New Roman" w:cs="Times New Roman"/>
          <w:sz w:val="20"/>
          <w:lang w:val="en-US"/>
        </w:rPr>
        <w:t xml:space="preserve"> </w:t>
      </w:r>
      <w:r w:rsidRPr="0062425D">
        <w:rPr>
          <w:rFonts w:ascii="Times New Roman" w:hAnsi="Times New Roman" w:cs="Times New Roman"/>
          <w:sz w:val="20"/>
        </w:rPr>
        <w:t xml:space="preserve">PT Tiwa Abadi dengan PT Sasana Yudha Bhakti, PT.Sawit Khatulistiwa Plantation, PT Persada Bangun Jaya dan PT Enggang Alam Sawita yang difasilitasi oleh Tergugat serta diwakili oleh Dinas PMPTSP, Dinas LHK dan Dinas Perkebunan dengan </w:t>
      </w:r>
      <w:r w:rsidRPr="0062425D">
        <w:rPr>
          <w:rFonts w:ascii="Times New Roman" w:hAnsi="Times New Roman" w:cs="Times New Roman"/>
          <w:b/>
          <w:bCs/>
          <w:sz w:val="20"/>
        </w:rPr>
        <w:t>hasil Penggugat harus melakukan</w:t>
      </w:r>
      <w:r w:rsidRPr="0062425D">
        <w:rPr>
          <w:rFonts w:ascii="Times New Roman" w:hAnsi="Times New Roman" w:cs="Times New Roman"/>
          <w:b/>
          <w:bCs/>
          <w:sz w:val="20"/>
          <w:lang w:val="en-US"/>
        </w:rPr>
        <w:t xml:space="preserve"> koordinasi tertulis dengan Tergugat II Intervensi</w:t>
      </w:r>
      <w:r w:rsidRPr="0062425D">
        <w:rPr>
          <w:rFonts w:ascii="Times New Roman" w:hAnsi="Times New Roman" w:cs="Times New Roman"/>
          <w:sz w:val="20"/>
          <w:lang w:val="en-US"/>
        </w:rPr>
        <w:t xml:space="preserve"> dan PT Enggang Alam Sawita</w:t>
      </w:r>
      <w:r w:rsidR="008E2C91" w:rsidRPr="0062425D">
        <w:rPr>
          <w:rFonts w:ascii="Times New Roman" w:hAnsi="Times New Roman" w:cs="Times New Roman"/>
          <w:sz w:val="20"/>
        </w:rPr>
        <w:t>.</w:t>
      </w:r>
      <w:r w:rsidRPr="0062425D">
        <w:rPr>
          <w:rFonts w:ascii="Times New Roman" w:hAnsi="Times New Roman" w:cs="Times New Roman"/>
          <w:sz w:val="20"/>
          <w:lang w:val="en-US"/>
        </w:rPr>
        <w:t>”</w:t>
      </w:r>
    </w:p>
    <w:p w14:paraId="4FF56AF0" w14:textId="77777777" w:rsidR="0037406C" w:rsidRPr="0062425D" w:rsidRDefault="0037406C" w:rsidP="0062425D">
      <w:pPr>
        <w:pStyle w:val="PH2"/>
        <w:spacing w:after="120" w:line="276" w:lineRule="auto"/>
        <w:ind w:left="1134" w:firstLine="0"/>
        <w:rPr>
          <w:rFonts w:ascii="Times New Roman" w:hAnsi="Times New Roman" w:cs="Times New Roman"/>
          <w:sz w:val="20"/>
          <w:lang w:val="en-US"/>
        </w:rPr>
      </w:pPr>
      <w:r w:rsidRPr="0062425D">
        <w:rPr>
          <w:rFonts w:ascii="Times New Roman" w:hAnsi="Times New Roman" w:cs="Times New Roman"/>
          <w:sz w:val="20"/>
          <w:lang w:val="en-US"/>
        </w:rPr>
        <w:t>“</w:t>
      </w:r>
      <w:r w:rsidRPr="0062425D">
        <w:rPr>
          <w:rFonts w:ascii="Times New Roman" w:hAnsi="Times New Roman" w:cs="Times New Roman"/>
          <w:sz w:val="20"/>
        </w:rPr>
        <w:t xml:space="preserve">Bahwa pada tanggal </w:t>
      </w:r>
      <w:r w:rsidRPr="0062425D">
        <w:rPr>
          <w:rFonts w:ascii="Times New Roman" w:hAnsi="Times New Roman" w:cs="Times New Roman"/>
          <w:b/>
          <w:bCs/>
          <w:sz w:val="20"/>
        </w:rPr>
        <w:t xml:space="preserve">06 Maret 2018 Penggugat kembali menyurati Dinas Perkebunan perihal permohonan klarifikasi status perijinan dan Dinas Perkebunan dalam suratnya nomor </w:t>
      </w:r>
      <w:r w:rsidRPr="0062425D">
        <w:rPr>
          <w:rFonts w:ascii="Times New Roman" w:hAnsi="Times New Roman" w:cs="Times New Roman"/>
          <w:b/>
          <w:bCs/>
          <w:sz w:val="20"/>
        </w:rPr>
        <w:lastRenderedPageBreak/>
        <w:t>525/1371/BU/2018 tanggal 13 Maret 2018 menyatakan bahwa kewenangan pemberi izin perkebunan yang dimiliki Tergugat II Intervensi</w:t>
      </w:r>
      <w:r w:rsidRPr="0062425D">
        <w:rPr>
          <w:rFonts w:ascii="Times New Roman" w:hAnsi="Times New Roman" w:cs="Times New Roman"/>
          <w:sz w:val="20"/>
        </w:rPr>
        <w:t xml:space="preserve"> dan PT Enggang Alam Sawita adalah Tergugat, </w:t>
      </w:r>
      <w:r w:rsidRPr="0062425D">
        <w:rPr>
          <w:rFonts w:ascii="Times New Roman" w:hAnsi="Times New Roman" w:cs="Times New Roman"/>
          <w:b/>
          <w:bCs/>
          <w:sz w:val="20"/>
        </w:rPr>
        <w:t>maka disarankan kepada Penggugat agar berkoordinasi dengan Tergugat</w:t>
      </w:r>
      <w:r w:rsidRPr="0062425D">
        <w:rPr>
          <w:rFonts w:ascii="Times New Roman" w:hAnsi="Times New Roman" w:cs="Times New Roman"/>
          <w:sz w:val="20"/>
        </w:rPr>
        <w:t xml:space="preserve"> dalam memperoleh data dan informasi secara akurat</w:t>
      </w:r>
      <w:r w:rsidRPr="0062425D">
        <w:rPr>
          <w:rFonts w:ascii="Times New Roman" w:hAnsi="Times New Roman" w:cs="Times New Roman"/>
          <w:sz w:val="20"/>
          <w:lang w:val="en-US"/>
        </w:rPr>
        <w:t>”</w:t>
      </w:r>
    </w:p>
    <w:p w14:paraId="151460BE" w14:textId="190297A5" w:rsidR="0037406C" w:rsidRPr="0062425D" w:rsidRDefault="0037406C" w:rsidP="0062425D">
      <w:pPr>
        <w:pStyle w:val="PH2"/>
        <w:spacing w:after="120" w:line="276" w:lineRule="auto"/>
        <w:ind w:left="1134" w:firstLine="0"/>
        <w:rPr>
          <w:rFonts w:ascii="Times New Roman" w:hAnsi="Times New Roman" w:cs="Times New Roman"/>
          <w:sz w:val="20"/>
          <w:lang w:val="en-US"/>
        </w:rPr>
      </w:pPr>
      <w:r w:rsidRPr="0062425D">
        <w:rPr>
          <w:rFonts w:ascii="Times New Roman" w:hAnsi="Times New Roman" w:cs="Times New Roman"/>
          <w:sz w:val="20"/>
          <w:lang w:val="en-US"/>
        </w:rPr>
        <w:t>“</w:t>
      </w:r>
      <w:r w:rsidRPr="0062425D">
        <w:rPr>
          <w:rFonts w:ascii="Times New Roman" w:hAnsi="Times New Roman" w:cs="Times New Roman"/>
          <w:sz w:val="20"/>
        </w:rPr>
        <w:t xml:space="preserve">Bahwa berdasarkan keterangan saksi O Fitra Jaya Toer Tanggal 27 September 2018 menyatakan bahwa proses dalam upaya menyelesaikan </w:t>
      </w:r>
      <w:r w:rsidRPr="0062425D">
        <w:rPr>
          <w:rFonts w:ascii="Times New Roman" w:hAnsi="Times New Roman" w:cs="Times New Roman"/>
          <w:b/>
          <w:bCs/>
          <w:sz w:val="20"/>
        </w:rPr>
        <w:t>perselisihan antara Penggugat dan Tergugat II Intervensi</w:t>
      </w:r>
      <w:r w:rsidRPr="0062425D">
        <w:rPr>
          <w:rFonts w:ascii="Times New Roman" w:hAnsi="Times New Roman" w:cs="Times New Roman"/>
          <w:sz w:val="20"/>
        </w:rPr>
        <w:t xml:space="preserve"> adalah berupa gelar perkara pada tanggal 27 Maret 2018 setelah itu </w:t>
      </w:r>
      <w:r w:rsidRPr="0062425D">
        <w:rPr>
          <w:rFonts w:ascii="Times New Roman" w:hAnsi="Times New Roman" w:cs="Times New Roman"/>
          <w:b/>
          <w:bCs/>
          <w:sz w:val="20"/>
        </w:rPr>
        <w:t>tidak ada proses / upaya perdamaian atau mediasi lagi</w:t>
      </w:r>
      <w:r w:rsidR="008E2C91" w:rsidRPr="0062425D">
        <w:rPr>
          <w:rFonts w:ascii="Times New Roman" w:hAnsi="Times New Roman" w:cs="Times New Roman"/>
          <w:b/>
          <w:bCs/>
          <w:sz w:val="20"/>
        </w:rPr>
        <w:t>.</w:t>
      </w:r>
      <w:r w:rsidRPr="0062425D">
        <w:rPr>
          <w:rFonts w:ascii="Times New Roman" w:hAnsi="Times New Roman" w:cs="Times New Roman"/>
          <w:sz w:val="20"/>
          <w:lang w:val="en-US"/>
        </w:rPr>
        <w:t>”</w:t>
      </w:r>
    </w:p>
    <w:p w14:paraId="6BFB4ECA" w14:textId="66E31B71" w:rsidR="00CB4635" w:rsidRPr="0062425D" w:rsidRDefault="0037406C" w:rsidP="0062425D">
      <w:pPr>
        <w:pStyle w:val="PH2"/>
        <w:spacing w:line="276" w:lineRule="auto"/>
        <w:ind w:left="709"/>
        <w:rPr>
          <w:rFonts w:ascii="Times New Roman" w:hAnsi="Times New Roman" w:cs="Times New Roman"/>
          <w:sz w:val="20"/>
        </w:rPr>
      </w:pPr>
      <w:r w:rsidRPr="0062425D">
        <w:rPr>
          <w:rFonts w:ascii="Times New Roman" w:hAnsi="Times New Roman" w:cs="Times New Roman"/>
          <w:sz w:val="20"/>
          <w:lang w:val="en-US"/>
        </w:rPr>
        <w:t xml:space="preserve">Dengan demikian telah diketahui jika telah terjadi musyawarah antara PT. BAS dan PT. SYB namun tidak menemui kesepakatan dan berakhir </w:t>
      </w:r>
      <w:r w:rsidRPr="0062425D">
        <w:rPr>
          <w:rFonts w:ascii="Times New Roman" w:hAnsi="Times New Roman" w:cs="Times New Roman"/>
          <w:i/>
          <w:iCs/>
          <w:sz w:val="20"/>
          <w:lang w:val="en-US"/>
        </w:rPr>
        <w:t>deadlock</w:t>
      </w:r>
      <w:r w:rsidRPr="0062425D">
        <w:rPr>
          <w:rFonts w:ascii="Times New Roman" w:hAnsi="Times New Roman" w:cs="Times New Roman"/>
          <w:sz w:val="20"/>
          <w:lang w:val="en-US"/>
        </w:rPr>
        <w:t xml:space="preserve"> sehingga pada akhirnya diajukanlah gugatan dan menghasilkan Putusan MA No. </w:t>
      </w:r>
      <w:r w:rsidRPr="0062425D">
        <w:rPr>
          <w:rFonts w:ascii="Times New Roman" w:hAnsi="Times New Roman" w:cs="Times New Roman"/>
          <w:sz w:val="20"/>
        </w:rPr>
        <w:t>4</w:t>
      </w:r>
      <w:r w:rsidRPr="0062425D">
        <w:rPr>
          <w:rFonts w:ascii="Times New Roman" w:hAnsi="Times New Roman" w:cs="Times New Roman"/>
          <w:sz w:val="20"/>
          <w:lang w:val="en-US"/>
        </w:rPr>
        <w:t xml:space="preserve">7 K/TUN/2020 ini. </w:t>
      </w:r>
      <w:r w:rsidR="00E668FB" w:rsidRPr="0062425D">
        <w:rPr>
          <w:rFonts w:ascii="Times New Roman" w:hAnsi="Times New Roman" w:cs="Times New Roman"/>
          <w:sz w:val="20"/>
        </w:rPr>
        <w:t xml:space="preserve">Penulis sependapat dengan pertimbangan hakim </w:t>
      </w:r>
      <w:r w:rsidRPr="0062425D">
        <w:rPr>
          <w:rFonts w:ascii="Times New Roman" w:hAnsi="Times New Roman" w:cs="Times New Roman"/>
          <w:sz w:val="20"/>
          <w:lang w:val="en-US"/>
        </w:rPr>
        <w:t xml:space="preserve">karena untuk menjamin kepastian hukum bagi pemegang Izin Usaha Pertambangan milik Penggugat (PT. BAS) telah terlebih dahulu ada (25 Juli 2005) dibandingkan dengan serangkaian izin SHGU yang berawal dari Izin Lokasi Untuk Keperluan Inti dan Plasma Perkebunan Kelapa Sawit (23 Juli 2007) </w:t>
      </w:r>
      <w:r w:rsidR="0095271D" w:rsidRPr="0062425D">
        <w:rPr>
          <w:rFonts w:ascii="Times New Roman" w:hAnsi="Times New Roman" w:cs="Times New Roman"/>
          <w:sz w:val="20"/>
        </w:rPr>
        <w:t>maka IUP milik PT. BAS harus tetap dipertahankan</w:t>
      </w:r>
      <w:r w:rsidR="00E668FB" w:rsidRPr="0062425D">
        <w:rPr>
          <w:rFonts w:ascii="Times New Roman" w:hAnsi="Times New Roman" w:cs="Times New Roman"/>
          <w:sz w:val="20"/>
        </w:rPr>
        <w:t xml:space="preserve">. </w:t>
      </w:r>
    </w:p>
    <w:p w14:paraId="21EEBB7C" w14:textId="77777777" w:rsidR="00CB4635" w:rsidRPr="0062425D" w:rsidRDefault="00CB4635" w:rsidP="0062425D">
      <w:pPr>
        <w:pStyle w:val="PH2"/>
        <w:spacing w:line="276" w:lineRule="auto"/>
        <w:rPr>
          <w:rFonts w:ascii="Times New Roman" w:hAnsi="Times New Roman" w:cs="Times New Roman"/>
          <w:sz w:val="20"/>
        </w:rPr>
      </w:pPr>
    </w:p>
    <w:p w14:paraId="4E65C3E1" w14:textId="0A714F69" w:rsidR="00A365B8" w:rsidRPr="0062425D" w:rsidRDefault="00A365B8" w:rsidP="0062425D">
      <w:pPr>
        <w:pStyle w:val="BodyText"/>
        <w:ind w:firstLine="0"/>
        <w:rPr>
          <w:b/>
          <w:lang w:val="id-ID"/>
        </w:rPr>
      </w:pPr>
      <w:r w:rsidRPr="0062425D">
        <w:rPr>
          <w:b/>
          <w:lang w:val="id-ID"/>
        </w:rPr>
        <w:t xml:space="preserve">Akibat Hukum dalam Putusan Mahkamah Agung Nomor 47 K/TUN/2020 </w:t>
      </w:r>
    </w:p>
    <w:p w14:paraId="6670EBA9" w14:textId="0EEA05C5" w:rsidR="0037406C" w:rsidRPr="0062425D" w:rsidRDefault="0037406C" w:rsidP="0062425D">
      <w:pPr>
        <w:pStyle w:val="PH2"/>
        <w:spacing w:line="276" w:lineRule="auto"/>
        <w:ind w:left="0"/>
        <w:rPr>
          <w:rFonts w:ascii="Times New Roman" w:hAnsi="Times New Roman" w:cs="Times New Roman"/>
          <w:sz w:val="20"/>
          <w:szCs w:val="20"/>
          <w:lang w:val="en-US"/>
        </w:rPr>
      </w:pPr>
      <w:r w:rsidRPr="0062425D">
        <w:rPr>
          <w:rFonts w:ascii="Times New Roman" w:hAnsi="Times New Roman" w:cs="Times New Roman"/>
          <w:sz w:val="20"/>
          <w:szCs w:val="20"/>
          <w:lang w:val="en-US"/>
        </w:rPr>
        <w:t>Akibat hukum langsung bagi Pemohon Kasasi I, Tergugat dalam tingkat pertama (Kantor Pertanahan Kabupaten Kutai Kartanegara) ialah melakukan pembatalan dan mencabut Sertipikat Hak Guna Usaha Nomor 116/Desa Gunung Sari dan Ritan Baru, Kecamatan Tabang, Kabupaten Kutai Kartanegara, Provinsi Kalimantan Timur, tanggal 29 Oktober 2009, luas 941,17 Ha, berdasarkan Surat Ukur Nomor 2115/HGU/2009, tanggal 21 Oktober 2009, a</w:t>
      </w:r>
      <w:r w:rsidR="008E2C91" w:rsidRPr="0062425D">
        <w:rPr>
          <w:rFonts w:ascii="Times New Roman" w:hAnsi="Times New Roman" w:cs="Times New Roman"/>
          <w:sz w:val="20"/>
          <w:szCs w:val="20"/>
          <w:lang w:val="en-US"/>
        </w:rPr>
        <w:t xml:space="preserve">tas nama PT Sasana Yudha Bhakti. </w:t>
      </w:r>
      <w:r w:rsidR="008E2C91" w:rsidRPr="0062425D">
        <w:rPr>
          <w:rFonts w:ascii="Times New Roman" w:hAnsi="Times New Roman" w:cs="Times New Roman"/>
          <w:sz w:val="20"/>
          <w:szCs w:val="20"/>
        </w:rPr>
        <w:t>S</w:t>
      </w:r>
      <w:r w:rsidR="008E2C91" w:rsidRPr="0062425D">
        <w:rPr>
          <w:rFonts w:ascii="Times New Roman" w:hAnsi="Times New Roman" w:cs="Times New Roman"/>
          <w:sz w:val="20"/>
          <w:szCs w:val="20"/>
          <w:lang w:val="en-US"/>
        </w:rPr>
        <w:t xml:space="preserve">ehingga, </w:t>
      </w:r>
      <w:r w:rsidRPr="0062425D">
        <w:rPr>
          <w:rFonts w:ascii="Times New Roman" w:hAnsi="Times New Roman" w:cs="Times New Roman"/>
          <w:sz w:val="20"/>
          <w:szCs w:val="20"/>
          <w:lang w:val="en-US"/>
        </w:rPr>
        <w:t xml:space="preserve">SHGU tersebut tidak memiliki kekuatan hukum mengikat, yang kemudian diperintahkan untuk menerbitkan keputusan baru yang tidak bertumpang tindih dengan Peta Lokasi Titik Bor dari Singkapan pada area konsesi PT Brian Anjat Sentosa. Pemohon Kasasi I juga menerima akibat hukum </w:t>
      </w:r>
      <w:r w:rsidRPr="0062425D">
        <w:rPr>
          <w:rFonts w:ascii="Times New Roman" w:hAnsi="Times New Roman" w:cs="Times New Roman"/>
          <w:sz w:val="20"/>
          <w:szCs w:val="20"/>
          <w:lang w:val="en-US"/>
        </w:rPr>
        <w:lastRenderedPageBreak/>
        <w:t>berupa dihukum untuk membayar biaya perkara bersama-sama dengan Pemohon Kasasi II sejumlah Rp500.000,0.</w:t>
      </w:r>
    </w:p>
    <w:p w14:paraId="02732AE3" w14:textId="77777777" w:rsidR="008E2C91" w:rsidRPr="0062425D" w:rsidRDefault="0037406C" w:rsidP="0062425D">
      <w:pPr>
        <w:pStyle w:val="PH2"/>
        <w:spacing w:line="276" w:lineRule="auto"/>
        <w:ind w:left="0"/>
        <w:rPr>
          <w:rFonts w:ascii="Times New Roman" w:hAnsi="Times New Roman" w:cs="Times New Roman"/>
          <w:sz w:val="20"/>
          <w:szCs w:val="20"/>
          <w:lang w:val="en-US"/>
        </w:rPr>
      </w:pPr>
      <w:r w:rsidRPr="0062425D">
        <w:rPr>
          <w:rFonts w:ascii="Times New Roman" w:hAnsi="Times New Roman" w:cs="Times New Roman"/>
          <w:sz w:val="20"/>
          <w:szCs w:val="20"/>
          <w:lang w:val="en-US"/>
        </w:rPr>
        <w:t xml:space="preserve">Akibat hukum bagi Pemohon Kasasi II, pada tingkat pertama Tergugat II Intervensi (PT. Sasana Yudha Bhakti) ialah hilangnya hak atas tanah berupa Sertipikat Hak Guna Usaha Nomor 116/Desa Gunung Sari dan Ritan Baru, Kecamatan Tabang, Kabupaten Kutai Kartanegara, Provinsi Kalimantan Timur, tanggal 29 Oktober 2009, luas 941,17 Ha, berdasarkan Surat Ukur Nomor 2115/HGU/2009, tanggal 21 Oktober 2009. Dengan demikian karena SHGU merupakan bukti kepemilikan hak atas tanah dan HGU ditujukan untuk memberikan subjek hukum suatu hak untuk memanfaatkan tanah, Pemohon Kasasi II tidak dapat lagi memanfaatkan tanah yang bertumpang tindih pada SHGU No. 116 dan untuk mampu memanfaatkan bidang tanah negara yang tidak bertumpang tindih namun sebelumnya termasuk dalam SGHU No.116, Pemohon Kasasi II harus menunggu keputusan baru dari Pemohon Kasasi I sebagai pihak yang menerbitkan KTUN. </w:t>
      </w:r>
    </w:p>
    <w:p w14:paraId="6896261B" w14:textId="19AC2812" w:rsidR="0037406C" w:rsidRPr="0062425D" w:rsidRDefault="0037406C" w:rsidP="0062425D">
      <w:pPr>
        <w:pStyle w:val="PH2"/>
        <w:spacing w:line="276" w:lineRule="auto"/>
        <w:ind w:left="0"/>
        <w:rPr>
          <w:rFonts w:ascii="Times New Roman" w:hAnsi="Times New Roman" w:cs="Times New Roman"/>
          <w:sz w:val="20"/>
          <w:szCs w:val="20"/>
        </w:rPr>
      </w:pPr>
      <w:r w:rsidRPr="0062425D">
        <w:rPr>
          <w:rFonts w:ascii="Times New Roman" w:hAnsi="Times New Roman" w:cs="Times New Roman"/>
          <w:sz w:val="20"/>
          <w:szCs w:val="20"/>
          <w:lang w:val="en-US"/>
        </w:rPr>
        <w:t>Berkaitan dengan akibat hukum tidak langsung bagi Pemohon Kasasi I adalah tidak berlakunya Keputusan Bupati Kutai Kartanegara No. 52/DPN.K/IL-52/VII/2007 tentang Pemberian Izin Lokasi Untuk Keperluan Inti dan Plasma Perkebunan Kelapa Sawit di Kecamatan Tabang Kepada PT. Sasana Yudha Bhakti. Secara tidak langsung pula batalnya Izin Usaha Budidaya Perkebunan Komoditi Kelapa Sawit PT. Sasana Yudha Bhakti dalam Keputusan Bupati Kutai Kartanegara No. 503/51/SK-DISBUN KUKAR/VII/2007. Konsekuensi dari batalnya izin-izin tersebut ialah Pemohon Kasasi II tidak dapat melaksanakan kegiatan perkebunan kelapa sawit pada objek</w:t>
      </w:r>
      <w:r w:rsidR="006B5B68" w:rsidRPr="0062425D">
        <w:rPr>
          <w:rFonts w:ascii="Times New Roman" w:hAnsi="Times New Roman" w:cs="Times New Roman"/>
          <w:sz w:val="20"/>
          <w:szCs w:val="20"/>
        </w:rPr>
        <w:t xml:space="preserve"> sengketa satu yakni</w:t>
      </w:r>
      <w:r w:rsidRPr="0062425D">
        <w:rPr>
          <w:rFonts w:ascii="Times New Roman" w:hAnsi="Times New Roman" w:cs="Times New Roman"/>
          <w:sz w:val="20"/>
          <w:szCs w:val="20"/>
          <w:lang w:val="en-US"/>
        </w:rPr>
        <w:t xml:space="preserve"> SHGU No. 116</w:t>
      </w:r>
      <w:r w:rsidR="006B5B68" w:rsidRPr="0062425D">
        <w:rPr>
          <w:rFonts w:ascii="Times New Roman" w:hAnsi="Times New Roman" w:cs="Times New Roman"/>
          <w:sz w:val="20"/>
          <w:szCs w:val="20"/>
        </w:rPr>
        <w:t xml:space="preserve">. </w:t>
      </w:r>
    </w:p>
    <w:p w14:paraId="49DE97ED" w14:textId="6143AF08" w:rsidR="0037406C" w:rsidRDefault="0037406C" w:rsidP="0062425D">
      <w:pPr>
        <w:pStyle w:val="PH2"/>
        <w:spacing w:line="276" w:lineRule="auto"/>
        <w:ind w:left="0"/>
        <w:rPr>
          <w:rFonts w:ascii="Times New Roman" w:hAnsi="Times New Roman" w:cs="Times New Roman"/>
          <w:sz w:val="20"/>
          <w:szCs w:val="20"/>
        </w:rPr>
      </w:pPr>
      <w:r w:rsidRPr="0062425D">
        <w:rPr>
          <w:rFonts w:ascii="Times New Roman" w:hAnsi="Times New Roman" w:cs="Times New Roman"/>
          <w:sz w:val="20"/>
          <w:szCs w:val="20"/>
          <w:lang w:val="en-US"/>
        </w:rPr>
        <w:t xml:space="preserve">Akibat hukum bagi Termohon Kasasi, pada tingkat pertama Penggugat (PT. Brian Anjat Sentosa) ialah dikabulkannya sebagian </w:t>
      </w:r>
      <w:r w:rsidRPr="0062425D">
        <w:rPr>
          <w:rFonts w:ascii="Times New Roman" w:hAnsi="Times New Roman" w:cs="Times New Roman"/>
          <w:i/>
          <w:iCs/>
          <w:sz w:val="20"/>
          <w:szCs w:val="20"/>
          <w:lang w:val="en-US"/>
        </w:rPr>
        <w:t>petitum</w:t>
      </w:r>
      <w:r w:rsidRPr="0062425D">
        <w:rPr>
          <w:rFonts w:ascii="Times New Roman" w:hAnsi="Times New Roman" w:cs="Times New Roman"/>
          <w:sz w:val="20"/>
          <w:szCs w:val="20"/>
          <w:lang w:val="en-US"/>
        </w:rPr>
        <w:t xml:space="preserve"> atau tuntutan yang dilayangkan. Keberadaan IUP Termohon Kasasi diakui baik pada IUP Eksplorasi maupun lanjutannya berupa IUP Operasi Produksi. Dengan demikian PT. BAS tetap dapat melanjutkan usaha pertambangan sebagaimana dimaksud dalam Pasal 1 angka 6 UU </w:t>
      </w:r>
      <w:r w:rsidR="00735726" w:rsidRPr="0062425D">
        <w:rPr>
          <w:rFonts w:ascii="Times New Roman" w:hAnsi="Times New Roman" w:cs="Times New Roman"/>
          <w:sz w:val="20"/>
          <w:szCs w:val="20"/>
        </w:rPr>
        <w:t>Pertambangan 2009</w:t>
      </w:r>
      <w:r w:rsidRPr="0062425D">
        <w:rPr>
          <w:rFonts w:ascii="Times New Roman" w:hAnsi="Times New Roman" w:cs="Times New Roman"/>
          <w:sz w:val="20"/>
          <w:szCs w:val="20"/>
          <w:lang w:val="en-US"/>
        </w:rPr>
        <w:t xml:space="preserve">, yaitu melakukan </w:t>
      </w:r>
      <w:r w:rsidRPr="0062425D">
        <w:rPr>
          <w:rFonts w:ascii="Times New Roman" w:hAnsi="Times New Roman" w:cs="Times New Roman"/>
          <w:sz w:val="20"/>
          <w:szCs w:val="20"/>
        </w:rPr>
        <w:t>kegiatan dalam rangka pengusahaan mineral atau batubara yang meliputi tahapan kegiatan penyelidikan umum, eksplorasi, studi kelayakan, konstruksi, penambangan, pengolahan dan pemurnian, pengangkutan dan penjualan, serta pascatambang</w:t>
      </w:r>
      <w:r w:rsidR="00735726" w:rsidRPr="0062425D">
        <w:rPr>
          <w:rFonts w:ascii="Times New Roman" w:hAnsi="Times New Roman" w:cs="Times New Roman"/>
          <w:sz w:val="20"/>
          <w:szCs w:val="20"/>
        </w:rPr>
        <w:t xml:space="preserve"> </w:t>
      </w:r>
      <w:r w:rsidR="00735726" w:rsidRPr="0062425D">
        <w:rPr>
          <w:rFonts w:ascii="Times New Roman" w:hAnsi="Times New Roman" w:cs="Times New Roman"/>
          <w:sz w:val="20"/>
          <w:szCs w:val="20"/>
        </w:rPr>
        <w:fldChar w:fldCharType="begin" w:fldLock="1"/>
      </w:r>
      <w:r w:rsidR="00735726" w:rsidRPr="0062425D">
        <w:rPr>
          <w:rFonts w:ascii="Times New Roman" w:hAnsi="Times New Roman" w:cs="Times New Roman"/>
          <w:sz w:val="20"/>
          <w:szCs w:val="20"/>
        </w:rPr>
        <w:instrText>ADDIN CSL_CITATION {"citationItems":[{"id":"ITEM-1","itemData":{"author":[{"dropping-particle":"","family":"Indonesia","given":"","non-dropping-particle":"","parse-names":false,"suffix":""}],"id":"ITEM-1","issued":{"date-parts":[["2009"]]},"title":"Undang-Undang Nomor 4 Tahun 2009 tentang Pertambangan Mineral dan Batubara (LN No. 4 Tahun 2009, TLN No. 4959)","type":"legislation"},"uris":["http://www.mendeley.com/documents/?uuid=03d097b4-320d-4ad5-9a06-b6e5d1c614e0"]}],"mendeley":{"formattedCitation":"(Indonesia 2009)","plainTextFormattedCitation":"(Indonesia 2009)","previouslyFormattedCitation":"(Indonesia 2009)"},"properties":{"noteIndex":0},"schema":"https://github.com/citation-style-language/schema/raw/master/csl-citation.json"}</w:instrText>
      </w:r>
      <w:r w:rsidR="00735726" w:rsidRPr="0062425D">
        <w:rPr>
          <w:rFonts w:ascii="Times New Roman" w:hAnsi="Times New Roman" w:cs="Times New Roman"/>
          <w:sz w:val="20"/>
          <w:szCs w:val="20"/>
        </w:rPr>
        <w:fldChar w:fldCharType="separate"/>
      </w:r>
      <w:r w:rsidR="00735726" w:rsidRPr="0062425D">
        <w:rPr>
          <w:rFonts w:ascii="Times New Roman" w:hAnsi="Times New Roman" w:cs="Times New Roman"/>
          <w:noProof/>
          <w:sz w:val="20"/>
          <w:szCs w:val="20"/>
        </w:rPr>
        <w:t>(Indonesia 2009)</w:t>
      </w:r>
      <w:r w:rsidR="00735726" w:rsidRPr="0062425D">
        <w:rPr>
          <w:rFonts w:ascii="Times New Roman" w:hAnsi="Times New Roman" w:cs="Times New Roman"/>
          <w:sz w:val="20"/>
          <w:szCs w:val="20"/>
        </w:rPr>
        <w:fldChar w:fldCharType="end"/>
      </w:r>
      <w:r w:rsidRPr="0062425D">
        <w:rPr>
          <w:rFonts w:ascii="Times New Roman" w:hAnsi="Times New Roman" w:cs="Times New Roman"/>
          <w:sz w:val="20"/>
          <w:szCs w:val="20"/>
        </w:rPr>
        <w:t>.</w:t>
      </w:r>
    </w:p>
    <w:p w14:paraId="7C9EB120" w14:textId="77777777" w:rsidR="0062425D" w:rsidRPr="0062425D" w:rsidRDefault="0062425D" w:rsidP="0062425D">
      <w:pPr>
        <w:pStyle w:val="PH2"/>
        <w:spacing w:line="276" w:lineRule="auto"/>
        <w:ind w:left="0"/>
        <w:rPr>
          <w:rFonts w:ascii="Times New Roman" w:hAnsi="Times New Roman" w:cs="Times New Roman"/>
          <w:sz w:val="20"/>
          <w:szCs w:val="20"/>
          <w:lang w:val="en-US"/>
        </w:rPr>
      </w:pPr>
      <w:bookmarkStart w:id="1" w:name="_GoBack"/>
      <w:bookmarkEnd w:id="1"/>
    </w:p>
    <w:p w14:paraId="785337B8" w14:textId="707DF4E1" w:rsidR="00CC08FA" w:rsidRPr="0062425D" w:rsidRDefault="00CC08FA" w:rsidP="0062425D">
      <w:pPr>
        <w:pStyle w:val="BodyText"/>
        <w:ind w:firstLine="0"/>
        <w:rPr>
          <w:b/>
          <w:lang w:val="id-ID"/>
        </w:rPr>
      </w:pPr>
      <w:r w:rsidRPr="0062425D">
        <w:rPr>
          <w:b/>
          <w:lang w:val="id-ID"/>
        </w:rPr>
        <w:t>PENUTUP</w:t>
      </w:r>
    </w:p>
    <w:p w14:paraId="2B8D8D99" w14:textId="66135E7B" w:rsidR="00CC08FA" w:rsidRPr="0062425D" w:rsidRDefault="00CC08FA" w:rsidP="0062425D">
      <w:pPr>
        <w:pStyle w:val="BodyText"/>
        <w:ind w:firstLine="0"/>
        <w:rPr>
          <w:b/>
          <w:lang w:val="id-ID"/>
        </w:rPr>
      </w:pPr>
      <w:r w:rsidRPr="0062425D">
        <w:rPr>
          <w:b/>
          <w:lang w:val="id-ID"/>
        </w:rPr>
        <w:t>Kesimpulan</w:t>
      </w:r>
    </w:p>
    <w:p w14:paraId="3180BC1A" w14:textId="7AD20B81" w:rsidR="00CC08FA" w:rsidRPr="0062425D" w:rsidRDefault="00CC08FA" w:rsidP="0062425D">
      <w:pPr>
        <w:pStyle w:val="PH2"/>
        <w:numPr>
          <w:ilvl w:val="0"/>
          <w:numId w:val="41"/>
        </w:numPr>
        <w:spacing w:line="276" w:lineRule="auto"/>
        <w:rPr>
          <w:rFonts w:ascii="Times New Roman" w:hAnsi="Times New Roman" w:cs="Times New Roman"/>
          <w:sz w:val="20"/>
        </w:rPr>
      </w:pPr>
      <w:r w:rsidRPr="0062425D">
        <w:rPr>
          <w:rFonts w:ascii="Times New Roman" w:hAnsi="Times New Roman" w:cs="Times New Roman"/>
          <w:i/>
          <w:iCs/>
          <w:sz w:val="20"/>
          <w:lang w:val="en-US"/>
        </w:rPr>
        <w:t xml:space="preserve">Ratio decidendi </w:t>
      </w:r>
      <w:r w:rsidRPr="0062425D">
        <w:rPr>
          <w:rFonts w:ascii="Times New Roman" w:hAnsi="Times New Roman" w:cs="Times New Roman"/>
          <w:sz w:val="20"/>
          <w:lang w:val="en-US"/>
        </w:rPr>
        <w:t xml:space="preserve">hakim dalam Putusan MA No. 47 K/TUN/2020 dirasa kurang tepat berkaitan </w:t>
      </w:r>
      <w:r w:rsidRPr="0062425D">
        <w:rPr>
          <w:rFonts w:ascii="Times New Roman" w:hAnsi="Times New Roman" w:cs="Times New Roman"/>
          <w:sz w:val="20"/>
          <w:lang w:val="en-US"/>
        </w:rPr>
        <w:lastRenderedPageBreak/>
        <w:t xml:space="preserve">dengan objek sengketa 1 </w:t>
      </w:r>
      <w:r w:rsidRPr="0062425D">
        <w:rPr>
          <w:rFonts w:ascii="Times New Roman" w:hAnsi="Times New Roman" w:cs="Times New Roman"/>
          <w:sz w:val="20"/>
        </w:rPr>
        <w:t xml:space="preserve">teknologi informasi berupa foto/citra satelit dapat memberikan hasil yang lebih akurat dalam menunjukkan titik-titik koordinat konsesi izin usaha pertambangan milik </w:t>
      </w:r>
      <w:r w:rsidRPr="0062425D">
        <w:rPr>
          <w:rFonts w:ascii="Times New Roman" w:hAnsi="Times New Roman" w:cs="Times New Roman"/>
          <w:sz w:val="20"/>
          <w:lang w:val="en-US"/>
        </w:rPr>
        <w:t>Termohon Kasasi, hal tersebut juga merupakan bentuk penerapan dari asas hakim aktif karena</w:t>
      </w:r>
      <w:r w:rsidRPr="0062425D">
        <w:rPr>
          <w:rFonts w:ascii="Times New Roman" w:hAnsi="Times New Roman" w:cs="Times New Roman"/>
          <w:sz w:val="20"/>
        </w:rPr>
        <w:t xml:space="preserve"> ketiadaan data peta dan gambar ukur yang jelas dalam objek sengketa</w:t>
      </w:r>
      <w:r w:rsidRPr="0062425D">
        <w:rPr>
          <w:rFonts w:ascii="Times New Roman" w:hAnsi="Times New Roman" w:cs="Times New Roman"/>
          <w:sz w:val="20"/>
          <w:lang w:val="en-US"/>
        </w:rPr>
        <w:t xml:space="preserve">.  Secara umum, pertimbangan hakim dalam memenangkan IUP bukan HGU ialah karena untuk menjamin kepastian hukum bagi pemegang Izin Usaha Pertambangan milik Termohon Kasasi (PT. BAS) telah terlebih dahulu ada (25 Juli 2005) dibandingkan dengan serangkaian izin SHGU yang berawal dari Izin Lokasi Untuk Keperluan Inti dan Plasma Perkebunan Kelapa Sawit (23 Juli 2007) </w:t>
      </w:r>
      <w:r w:rsidR="0095271D" w:rsidRPr="0062425D">
        <w:rPr>
          <w:rFonts w:ascii="Times New Roman" w:hAnsi="Times New Roman" w:cs="Times New Roman"/>
          <w:sz w:val="20"/>
        </w:rPr>
        <w:t>maka IUP PT. BAS harus tetap dipertahankan</w:t>
      </w:r>
      <w:r w:rsidRPr="0062425D">
        <w:rPr>
          <w:rFonts w:ascii="Times New Roman" w:hAnsi="Times New Roman" w:cs="Times New Roman"/>
          <w:sz w:val="20"/>
          <w:lang w:val="en-US"/>
        </w:rPr>
        <w:t>.</w:t>
      </w:r>
    </w:p>
    <w:p w14:paraId="46193B02" w14:textId="681802BD" w:rsidR="00CC08FA" w:rsidRPr="0062425D" w:rsidRDefault="00CC08FA" w:rsidP="0062425D">
      <w:pPr>
        <w:pStyle w:val="PH2"/>
        <w:numPr>
          <w:ilvl w:val="0"/>
          <w:numId w:val="41"/>
        </w:numPr>
        <w:spacing w:line="276" w:lineRule="auto"/>
        <w:rPr>
          <w:rFonts w:ascii="Times New Roman" w:hAnsi="Times New Roman" w:cs="Times New Roman"/>
          <w:sz w:val="20"/>
        </w:rPr>
      </w:pPr>
      <w:r w:rsidRPr="0062425D">
        <w:rPr>
          <w:rFonts w:ascii="Times New Roman" w:hAnsi="Times New Roman" w:cs="Times New Roman"/>
          <w:sz w:val="20"/>
        </w:rPr>
        <w:t xml:space="preserve">Akibat hukum pada putusan Mahkamah Agung Nomor 47 K/TUN/2020 bagi Kepala Kantor Pertanahan Kabupaten Kutai Kartanegara sebagi pemohon kasasi I adalah melakukan pembatalan serta mencabut Keputusan Tata Usaha Negara berupa Sertifikat Hak Guna Usaha (SHGU) Nomor 116/Desa Gunung Sari dan Ritan Baru, Kecamatan Tabang, Kabupaten Kutai Kartanegara, Provinsi Kalimantan Timur tertanggal 21 Oktober 2009 dengan luas 941,17 hektar, berdasarkan surat ukur nomor 2115/HGU/2009 tertanggal 21 Oktober 2009 atas nama PT. Sasana Yudha Bhakti. Dan memerintahkan pemohon kasasi I untuk menerbitkan Keputusan Tata Usaha Negara yang baru berupa SHGU atas nama PT. Sasana Yudha Bhakti yang tidak bertumpang tindih dengan Izin Usaha Pertambangan Operasi Produksi milik PT. Brian Anjat Sentosa. Selanjutnya akibat hukum bagi PT. Sasana Yudha Bhakti sebagai pemohon kasasi II adalah hilangnya hak atas tanah berupa sertifikat hak guna usaha (SHGU) Nomor 116/Desa Gunung Sari dan Ritan Baru, Kecamatan Tabang, Kabupaten Kutai Kartanegara, Provinsi Kalimantan Timur tertanggal 21 Oktober 2009 dengan luas 941,17 hektar, berdasarkan surat ukur nomor 2115/HGU/2009 tertanggal 21 Oktober 2009 atas nama PT. Sasana Yudha Bhakti serta tidak berlakunya Keputusan Bupati Kutai Kartanegara No. 52/DPL.K/IL-52/VII/2007 tentang Pemberian Izin Lokasi Untuk Keperluan Inti dan Plasma Perkebunan Kelapa Sawit di Kecamatan Tabang atas nama PT. Sasana Yudha Bhakti. Terakir akibat hukum </w:t>
      </w:r>
      <w:r w:rsidRPr="0062425D">
        <w:rPr>
          <w:rFonts w:ascii="Times New Roman" w:hAnsi="Times New Roman" w:cs="Times New Roman"/>
          <w:sz w:val="20"/>
        </w:rPr>
        <w:lastRenderedPageBreak/>
        <w:t>bagi PT. Brian Anjat Sentosa sebagai termohon kasasi adalah Sah serta berlakunya IUP milik PT. Brian Anjat Sentosa baik IUP eksplorasi maupun IUP operasi produksi, sehingga PT. Brian Anjat Sentosa dapat melakukan kegiatan pertambangan.</w:t>
      </w:r>
    </w:p>
    <w:p w14:paraId="0D5CDBBC" w14:textId="77777777" w:rsidR="00CC08FA" w:rsidRPr="0062425D" w:rsidRDefault="00CC08FA" w:rsidP="0062425D">
      <w:pPr>
        <w:pStyle w:val="BodyText"/>
        <w:spacing w:line="276" w:lineRule="auto"/>
        <w:ind w:firstLine="0"/>
        <w:rPr>
          <w:b/>
          <w:lang w:val="id-ID"/>
        </w:rPr>
      </w:pPr>
      <w:r w:rsidRPr="0062425D">
        <w:rPr>
          <w:b/>
          <w:lang w:val="id-ID"/>
        </w:rPr>
        <w:t>Saran</w:t>
      </w:r>
    </w:p>
    <w:p w14:paraId="0E6E70A3" w14:textId="155A2709" w:rsidR="00D13A5A" w:rsidRPr="0062425D" w:rsidRDefault="00D13A5A" w:rsidP="0062425D">
      <w:pPr>
        <w:pStyle w:val="ListParagraph"/>
        <w:widowControl w:val="0"/>
        <w:numPr>
          <w:ilvl w:val="0"/>
          <w:numId w:val="43"/>
        </w:numPr>
        <w:autoSpaceDE w:val="0"/>
        <w:autoSpaceDN w:val="0"/>
        <w:spacing w:before="1" w:after="0" w:line="276" w:lineRule="auto"/>
        <w:contextualSpacing w:val="0"/>
        <w:jc w:val="both"/>
        <w:rPr>
          <w:rFonts w:ascii="Times New Roman" w:hAnsi="Times New Roman" w:cs="Times New Roman"/>
          <w:sz w:val="20"/>
        </w:rPr>
      </w:pPr>
      <w:r w:rsidRPr="0062425D">
        <w:rPr>
          <w:rFonts w:ascii="Times New Roman" w:hAnsi="Times New Roman" w:cs="Times New Roman"/>
          <w:sz w:val="20"/>
        </w:rPr>
        <w:t>Hakim diharapkan menerapkan asas hakim aktif (</w:t>
      </w:r>
      <w:r w:rsidRPr="0062425D">
        <w:rPr>
          <w:rFonts w:ascii="Times New Roman" w:hAnsi="Times New Roman" w:cs="Times New Roman"/>
          <w:i/>
          <w:sz w:val="20"/>
        </w:rPr>
        <w:t>dominus litis</w:t>
      </w:r>
      <w:r w:rsidRPr="0062425D">
        <w:rPr>
          <w:rFonts w:ascii="Times New Roman" w:hAnsi="Times New Roman" w:cs="Times New Roman"/>
          <w:sz w:val="20"/>
        </w:rPr>
        <w:t xml:space="preserve">) dalam menangani sebuah perkara. Dalam pertimbangan Majelis Hakim PTUN menggunakan metode </w:t>
      </w:r>
      <w:r w:rsidRPr="0062425D">
        <w:rPr>
          <w:rFonts w:ascii="Times New Roman" w:hAnsi="Times New Roman" w:cs="Times New Roman"/>
          <w:i/>
          <w:sz w:val="20"/>
        </w:rPr>
        <w:t>lotting</w:t>
      </w:r>
      <w:r w:rsidRPr="0062425D">
        <w:rPr>
          <w:rFonts w:ascii="Times New Roman" w:hAnsi="Times New Roman" w:cs="Times New Roman"/>
          <w:sz w:val="20"/>
        </w:rPr>
        <w:t xml:space="preserve"> secara manual, dimana seharusnya menggunakan foto/citra satelit yang telah dijelaskan oleh Majelis Hakim PT TUN sebab batasan </w:t>
      </w:r>
      <w:r w:rsidRPr="0062425D">
        <w:rPr>
          <w:rFonts w:ascii="Times New Roman" w:hAnsi="Times New Roman" w:cs="Times New Roman"/>
          <w:spacing w:val="-3"/>
          <w:sz w:val="20"/>
        </w:rPr>
        <w:t xml:space="preserve">wilayah </w:t>
      </w:r>
      <w:r w:rsidRPr="0062425D">
        <w:rPr>
          <w:rFonts w:ascii="Times New Roman" w:hAnsi="Times New Roman" w:cs="Times New Roman"/>
          <w:sz w:val="20"/>
        </w:rPr>
        <w:t xml:space="preserve">yang hendak diketahui cukup luas selain itu Kepala Kantor Pertanahan serta </w:t>
      </w:r>
      <w:r w:rsidRPr="0062425D">
        <w:rPr>
          <w:rFonts w:ascii="Times New Roman" w:hAnsi="Times New Roman" w:cs="Times New Roman"/>
          <w:spacing w:val="-2"/>
          <w:sz w:val="20"/>
        </w:rPr>
        <w:t xml:space="preserve">PT. </w:t>
      </w:r>
      <w:r w:rsidRPr="0062425D">
        <w:rPr>
          <w:rFonts w:ascii="Times New Roman" w:hAnsi="Times New Roman" w:cs="Times New Roman"/>
          <w:sz w:val="20"/>
        </w:rPr>
        <w:t xml:space="preserve">SYB tidak mengetahui secara pasti letak </w:t>
      </w:r>
      <w:r w:rsidRPr="0062425D">
        <w:rPr>
          <w:rFonts w:ascii="Times New Roman" w:hAnsi="Times New Roman" w:cs="Times New Roman"/>
          <w:spacing w:val="-3"/>
          <w:sz w:val="20"/>
        </w:rPr>
        <w:t xml:space="preserve">objek </w:t>
      </w:r>
      <w:r w:rsidRPr="0062425D">
        <w:rPr>
          <w:rFonts w:ascii="Times New Roman" w:hAnsi="Times New Roman" w:cs="Times New Roman"/>
          <w:sz w:val="20"/>
        </w:rPr>
        <w:t>sengketa 2. Namun</w:t>
      </w:r>
      <w:r w:rsidR="00692F94" w:rsidRPr="0062425D">
        <w:rPr>
          <w:rFonts w:ascii="Times New Roman" w:hAnsi="Times New Roman" w:cs="Times New Roman"/>
          <w:sz w:val="20"/>
        </w:rPr>
        <w:t>,</w:t>
      </w:r>
      <w:r w:rsidRPr="0062425D">
        <w:rPr>
          <w:rFonts w:ascii="Times New Roman" w:hAnsi="Times New Roman" w:cs="Times New Roman"/>
          <w:sz w:val="20"/>
        </w:rPr>
        <w:t xml:space="preserve"> ketika dilakukan foto/citra satelit dapat terlihat bahwa </w:t>
      </w:r>
      <w:r w:rsidRPr="0062425D">
        <w:rPr>
          <w:rFonts w:ascii="Times New Roman" w:hAnsi="Times New Roman" w:cs="Times New Roman"/>
          <w:spacing w:val="-3"/>
          <w:sz w:val="20"/>
        </w:rPr>
        <w:t xml:space="preserve">IUP </w:t>
      </w:r>
      <w:r w:rsidRPr="0062425D">
        <w:rPr>
          <w:rFonts w:ascii="Times New Roman" w:hAnsi="Times New Roman" w:cs="Times New Roman"/>
          <w:sz w:val="20"/>
        </w:rPr>
        <w:t xml:space="preserve">PT. </w:t>
      </w:r>
      <w:r w:rsidRPr="0062425D">
        <w:rPr>
          <w:rFonts w:ascii="Times New Roman" w:hAnsi="Times New Roman" w:cs="Times New Roman"/>
          <w:spacing w:val="-3"/>
          <w:sz w:val="20"/>
        </w:rPr>
        <w:t xml:space="preserve">BAS </w:t>
      </w:r>
      <w:r w:rsidRPr="0062425D">
        <w:rPr>
          <w:rFonts w:ascii="Times New Roman" w:hAnsi="Times New Roman" w:cs="Times New Roman"/>
          <w:sz w:val="20"/>
        </w:rPr>
        <w:t xml:space="preserve">bertumpang tindih dengan </w:t>
      </w:r>
      <w:r w:rsidRPr="0062425D">
        <w:rPr>
          <w:rFonts w:ascii="Times New Roman" w:hAnsi="Times New Roman" w:cs="Times New Roman"/>
          <w:spacing w:val="-4"/>
          <w:sz w:val="20"/>
        </w:rPr>
        <w:t xml:space="preserve">objek </w:t>
      </w:r>
      <w:r w:rsidRPr="0062425D">
        <w:rPr>
          <w:rFonts w:ascii="Times New Roman" w:hAnsi="Times New Roman" w:cs="Times New Roman"/>
          <w:sz w:val="20"/>
        </w:rPr>
        <w:t xml:space="preserve">sengketa 1 </w:t>
      </w:r>
      <w:r w:rsidRPr="0062425D">
        <w:rPr>
          <w:rFonts w:ascii="Times New Roman" w:hAnsi="Times New Roman" w:cs="Times New Roman"/>
          <w:spacing w:val="-3"/>
          <w:sz w:val="20"/>
        </w:rPr>
        <w:t xml:space="preserve">dan objek </w:t>
      </w:r>
      <w:r w:rsidRPr="0062425D">
        <w:rPr>
          <w:rFonts w:ascii="Times New Roman" w:hAnsi="Times New Roman" w:cs="Times New Roman"/>
          <w:sz w:val="20"/>
        </w:rPr>
        <w:t>sengketa 2. Sehingga</w:t>
      </w:r>
      <w:r w:rsidR="00692F94" w:rsidRPr="0062425D">
        <w:rPr>
          <w:rFonts w:ascii="Times New Roman" w:hAnsi="Times New Roman" w:cs="Times New Roman"/>
          <w:sz w:val="20"/>
        </w:rPr>
        <w:t>,</w:t>
      </w:r>
      <w:r w:rsidRPr="0062425D">
        <w:rPr>
          <w:rFonts w:ascii="Times New Roman" w:hAnsi="Times New Roman" w:cs="Times New Roman"/>
          <w:sz w:val="20"/>
        </w:rPr>
        <w:t xml:space="preserve"> sudah sepatutnya Majelis Hakim Kasasi memahami pertimbangan Majelis Hakim PT TUN sebagai bentuk tindakan asas hakim aktif.</w:t>
      </w:r>
    </w:p>
    <w:p w14:paraId="65C30F50" w14:textId="3B9819FD" w:rsidR="00D13A5A" w:rsidRPr="0062425D" w:rsidRDefault="001868D9" w:rsidP="0062425D">
      <w:pPr>
        <w:pStyle w:val="ListParagraph"/>
        <w:widowControl w:val="0"/>
        <w:numPr>
          <w:ilvl w:val="0"/>
          <w:numId w:val="43"/>
        </w:numPr>
        <w:autoSpaceDE w:val="0"/>
        <w:autoSpaceDN w:val="0"/>
        <w:spacing w:after="0" w:line="240" w:lineRule="auto"/>
        <w:ind w:right="2"/>
        <w:contextualSpacing w:val="0"/>
        <w:jc w:val="both"/>
        <w:rPr>
          <w:rFonts w:ascii="Times New Roman" w:hAnsi="Times New Roman" w:cs="Times New Roman"/>
          <w:sz w:val="20"/>
          <w:szCs w:val="20"/>
        </w:rPr>
      </w:pPr>
      <w:r w:rsidRPr="0062425D">
        <w:rPr>
          <w:rFonts w:ascii="Times New Roman" w:hAnsi="Times New Roman" w:cs="Times New Roman"/>
          <w:spacing w:val="-3"/>
          <w:sz w:val="20"/>
          <w:szCs w:val="20"/>
        </w:rPr>
        <w:t>K</w:t>
      </w:r>
      <w:r w:rsidR="00D13A5A" w:rsidRPr="0062425D">
        <w:rPr>
          <w:rFonts w:ascii="Times New Roman" w:hAnsi="Times New Roman" w:cs="Times New Roman"/>
          <w:spacing w:val="-3"/>
          <w:sz w:val="20"/>
          <w:szCs w:val="20"/>
        </w:rPr>
        <w:t xml:space="preserve">antor </w:t>
      </w:r>
      <w:r w:rsidR="00D13A5A" w:rsidRPr="0062425D">
        <w:rPr>
          <w:rFonts w:ascii="Times New Roman" w:hAnsi="Times New Roman" w:cs="Times New Roman"/>
          <w:sz w:val="20"/>
          <w:szCs w:val="20"/>
        </w:rPr>
        <w:t>Pertanahan diharapkan lebih teliti dan cermat untuk melakukan pengecekan data fisik maupun data yuridis sebelum diterbitkannya sertifikat hak atas tanah. Sehingga kedepannya tidak ada lagi masalah mengenai sertifikat yang cacat subtansi</w:t>
      </w:r>
      <w:r w:rsidR="00D13A5A" w:rsidRPr="0062425D">
        <w:rPr>
          <w:rFonts w:ascii="Times New Roman" w:hAnsi="Times New Roman" w:cs="Times New Roman"/>
          <w:spacing w:val="16"/>
          <w:sz w:val="20"/>
          <w:szCs w:val="20"/>
        </w:rPr>
        <w:t xml:space="preserve"> </w:t>
      </w:r>
      <w:r w:rsidR="00D13A5A" w:rsidRPr="0062425D">
        <w:rPr>
          <w:rFonts w:ascii="Times New Roman" w:hAnsi="Times New Roman" w:cs="Times New Roman"/>
          <w:sz w:val="20"/>
          <w:szCs w:val="20"/>
        </w:rPr>
        <w:t>maupun</w:t>
      </w:r>
      <w:r w:rsidR="00D13A5A" w:rsidRPr="0062425D">
        <w:rPr>
          <w:rFonts w:ascii="Times New Roman" w:hAnsi="Times New Roman" w:cs="Times New Roman"/>
          <w:sz w:val="20"/>
          <w:szCs w:val="20"/>
          <w:lang w:val="en-US"/>
        </w:rPr>
        <w:t xml:space="preserve"> </w:t>
      </w:r>
      <w:r w:rsidR="00D13A5A" w:rsidRPr="0062425D">
        <w:rPr>
          <w:rFonts w:ascii="Times New Roman" w:hAnsi="Times New Roman" w:cs="Times New Roman"/>
          <w:sz w:val="20"/>
          <w:szCs w:val="20"/>
        </w:rPr>
        <w:t>cacat administrasi yang dapat memicu terjadinya tumpang tindih pemanfaatan tanah dan sertifikat sebagai hak milik atas tanah dapat memberikan kepastian hukum bagi para pemiliknya</w:t>
      </w:r>
      <w:r w:rsidR="00583384" w:rsidRPr="0062425D">
        <w:rPr>
          <w:rFonts w:ascii="Times New Roman" w:hAnsi="Times New Roman" w:cs="Times New Roman"/>
          <w:sz w:val="20"/>
          <w:szCs w:val="20"/>
        </w:rPr>
        <w:t>.</w:t>
      </w:r>
    </w:p>
    <w:p w14:paraId="192A033C" w14:textId="77777777" w:rsidR="00CC08FA" w:rsidRPr="0062425D" w:rsidRDefault="00CC08FA" w:rsidP="0062425D">
      <w:pPr>
        <w:rPr>
          <w:lang w:val="id-ID"/>
        </w:rPr>
      </w:pPr>
    </w:p>
    <w:p w14:paraId="65280579" w14:textId="77777777" w:rsidR="00891BA0" w:rsidRPr="0062425D" w:rsidRDefault="00891BA0" w:rsidP="0062425D">
      <w:pPr>
        <w:pStyle w:val="BodyText"/>
        <w:ind w:firstLine="0"/>
        <w:rPr>
          <w:b/>
          <w:lang w:val="id-ID"/>
        </w:rPr>
      </w:pPr>
      <w:r w:rsidRPr="0062425D">
        <w:rPr>
          <w:b/>
          <w:lang w:val="id-ID"/>
        </w:rPr>
        <w:t>DAFTAR PUSTAKA</w:t>
      </w:r>
    </w:p>
    <w:p w14:paraId="02E11ABF" w14:textId="3B228100" w:rsidR="00C93F1C" w:rsidRPr="0062425D" w:rsidRDefault="00454524" w:rsidP="0062425D">
      <w:pPr>
        <w:widowControl w:val="0"/>
        <w:autoSpaceDE w:val="0"/>
        <w:autoSpaceDN w:val="0"/>
        <w:adjustRightInd w:val="0"/>
        <w:spacing w:before="120" w:after="120"/>
        <w:ind w:left="480" w:hanging="480"/>
        <w:jc w:val="both"/>
        <w:rPr>
          <w:noProof/>
          <w:szCs w:val="24"/>
        </w:rPr>
      </w:pPr>
      <w:r w:rsidRPr="0062425D">
        <w:rPr>
          <w:bCs/>
          <w:lang w:val="id-ID"/>
        </w:rPr>
        <w:fldChar w:fldCharType="begin" w:fldLock="1"/>
      </w:r>
      <w:r w:rsidRPr="0062425D">
        <w:rPr>
          <w:bCs/>
          <w:lang w:val="id-ID"/>
        </w:rPr>
        <w:instrText xml:space="preserve">ADDIN Mendeley Bibliography CSL_BIBLIOGRAPHY </w:instrText>
      </w:r>
      <w:r w:rsidRPr="0062425D">
        <w:rPr>
          <w:bCs/>
          <w:lang w:val="id-ID"/>
        </w:rPr>
        <w:fldChar w:fldCharType="separate"/>
      </w:r>
      <w:r w:rsidR="00C93F1C" w:rsidRPr="0062425D">
        <w:rPr>
          <w:noProof/>
          <w:szCs w:val="24"/>
        </w:rPr>
        <w:t xml:space="preserve">Efendi, Jonaedi and Johnny Ibrahim. 2020. </w:t>
      </w:r>
      <w:r w:rsidR="00C93F1C" w:rsidRPr="0062425D">
        <w:rPr>
          <w:i/>
          <w:iCs/>
          <w:noProof/>
          <w:szCs w:val="24"/>
        </w:rPr>
        <w:t>Metode Penelitian Hukum Normatif Dan Empiris</w:t>
      </w:r>
      <w:r w:rsidR="00C93F1C" w:rsidRPr="0062425D">
        <w:rPr>
          <w:noProof/>
          <w:szCs w:val="24"/>
        </w:rPr>
        <w:t>. Jakarta: Kencana.</w:t>
      </w:r>
    </w:p>
    <w:p w14:paraId="10CBD62D" w14:textId="77777777" w:rsidR="00C93F1C" w:rsidRPr="0062425D" w:rsidRDefault="00C93F1C" w:rsidP="0062425D">
      <w:pPr>
        <w:widowControl w:val="0"/>
        <w:autoSpaceDE w:val="0"/>
        <w:autoSpaceDN w:val="0"/>
        <w:adjustRightInd w:val="0"/>
        <w:spacing w:before="120" w:after="120"/>
        <w:ind w:left="480" w:hanging="480"/>
        <w:jc w:val="both"/>
        <w:rPr>
          <w:noProof/>
          <w:szCs w:val="24"/>
        </w:rPr>
      </w:pPr>
      <w:r w:rsidRPr="0062425D">
        <w:rPr>
          <w:noProof/>
          <w:szCs w:val="24"/>
        </w:rPr>
        <w:t xml:space="preserve">Epi Syahadat, Subarudi &amp;. Andri Setiadi. 2018. “Sinkronisasi Kebijakan Di Bidang Izin Pertambangan Dalam Kawasan Hutan.” </w:t>
      </w:r>
      <w:r w:rsidRPr="0062425D">
        <w:rPr>
          <w:i/>
          <w:iCs/>
          <w:noProof/>
          <w:szCs w:val="24"/>
        </w:rPr>
        <w:t>Jurnal Analisis Kebijakan Kehutanan</w:t>
      </w:r>
      <w:r w:rsidRPr="0062425D">
        <w:rPr>
          <w:noProof/>
          <w:szCs w:val="24"/>
        </w:rPr>
        <w:t xml:space="preserve"> 1.</w:t>
      </w:r>
    </w:p>
    <w:p w14:paraId="76E42615" w14:textId="77777777" w:rsidR="00C93F1C" w:rsidRPr="0062425D" w:rsidRDefault="00C93F1C" w:rsidP="0062425D">
      <w:pPr>
        <w:widowControl w:val="0"/>
        <w:autoSpaceDE w:val="0"/>
        <w:autoSpaceDN w:val="0"/>
        <w:adjustRightInd w:val="0"/>
        <w:spacing w:before="120" w:after="120"/>
        <w:ind w:left="480" w:hanging="480"/>
        <w:jc w:val="both"/>
        <w:rPr>
          <w:noProof/>
          <w:szCs w:val="24"/>
        </w:rPr>
      </w:pPr>
      <w:r w:rsidRPr="0062425D">
        <w:rPr>
          <w:noProof/>
          <w:szCs w:val="24"/>
        </w:rPr>
        <w:t>FJP Law Offices. 2020. “Kewenangan Pengadilan Tata Usaha Negara.” Retrieved January 23, 2022 (https://fjp-law.com/id/kewenangan-pengadilan-tata-usaha-negara/#:~:text=PTUN memiliki kewenangan untuk memeriksa,di tingkat pusat maupun daerah.).</w:t>
      </w:r>
    </w:p>
    <w:p w14:paraId="2995EB24" w14:textId="77777777" w:rsidR="00C93F1C" w:rsidRPr="0062425D" w:rsidRDefault="00C93F1C" w:rsidP="0062425D">
      <w:pPr>
        <w:widowControl w:val="0"/>
        <w:autoSpaceDE w:val="0"/>
        <w:autoSpaceDN w:val="0"/>
        <w:adjustRightInd w:val="0"/>
        <w:spacing w:before="120" w:after="120"/>
        <w:ind w:left="480" w:hanging="480"/>
        <w:jc w:val="both"/>
        <w:rPr>
          <w:noProof/>
          <w:szCs w:val="24"/>
        </w:rPr>
      </w:pPr>
      <w:r w:rsidRPr="0062425D">
        <w:rPr>
          <w:noProof/>
          <w:szCs w:val="24"/>
        </w:rPr>
        <w:t xml:space="preserve">Indonesia. 1967. </w:t>
      </w:r>
      <w:r w:rsidRPr="0062425D">
        <w:rPr>
          <w:i/>
          <w:iCs/>
          <w:noProof/>
          <w:szCs w:val="24"/>
        </w:rPr>
        <w:t>Undang-Undang Nomor 11 Tahun 1967 Tentang Ketentuan-Ketentuan Pokok Pertambangan (LN No.22 Tahun 1967, TLN No. 2831)</w:t>
      </w:r>
      <w:r w:rsidRPr="0062425D">
        <w:rPr>
          <w:noProof/>
          <w:szCs w:val="24"/>
        </w:rPr>
        <w:t>.</w:t>
      </w:r>
    </w:p>
    <w:p w14:paraId="776A9320" w14:textId="77777777" w:rsidR="00C93F1C" w:rsidRPr="0062425D" w:rsidRDefault="00C93F1C" w:rsidP="0062425D">
      <w:pPr>
        <w:widowControl w:val="0"/>
        <w:autoSpaceDE w:val="0"/>
        <w:autoSpaceDN w:val="0"/>
        <w:adjustRightInd w:val="0"/>
        <w:spacing w:before="120" w:after="120"/>
        <w:ind w:left="480" w:hanging="480"/>
        <w:jc w:val="both"/>
        <w:rPr>
          <w:noProof/>
          <w:szCs w:val="24"/>
        </w:rPr>
      </w:pPr>
      <w:r w:rsidRPr="0062425D">
        <w:rPr>
          <w:noProof/>
          <w:szCs w:val="24"/>
        </w:rPr>
        <w:t xml:space="preserve">Indonesia. 1986. </w:t>
      </w:r>
      <w:r w:rsidRPr="0062425D">
        <w:rPr>
          <w:i/>
          <w:iCs/>
          <w:noProof/>
          <w:szCs w:val="24"/>
        </w:rPr>
        <w:t xml:space="preserve">Undang-Undang Nomor 5 Tahun 1986 </w:t>
      </w:r>
      <w:r w:rsidRPr="0062425D">
        <w:rPr>
          <w:i/>
          <w:iCs/>
          <w:noProof/>
          <w:szCs w:val="24"/>
        </w:rPr>
        <w:lastRenderedPageBreak/>
        <w:t>Tentang Pengadilan Tata Usaha Negara (LN No. 77 Tahun 1986)</w:t>
      </w:r>
      <w:r w:rsidRPr="0062425D">
        <w:rPr>
          <w:noProof/>
          <w:szCs w:val="24"/>
        </w:rPr>
        <w:t>.</w:t>
      </w:r>
    </w:p>
    <w:p w14:paraId="4E9B24AA" w14:textId="77777777" w:rsidR="00C93F1C" w:rsidRPr="0062425D" w:rsidRDefault="00C93F1C" w:rsidP="0062425D">
      <w:pPr>
        <w:widowControl w:val="0"/>
        <w:autoSpaceDE w:val="0"/>
        <w:autoSpaceDN w:val="0"/>
        <w:adjustRightInd w:val="0"/>
        <w:spacing w:before="120" w:after="120"/>
        <w:ind w:left="480" w:hanging="480"/>
        <w:jc w:val="both"/>
        <w:rPr>
          <w:noProof/>
          <w:szCs w:val="24"/>
        </w:rPr>
      </w:pPr>
      <w:r w:rsidRPr="0062425D">
        <w:rPr>
          <w:noProof/>
          <w:szCs w:val="24"/>
        </w:rPr>
        <w:t xml:space="preserve">Indonesia. 2009. </w:t>
      </w:r>
      <w:r w:rsidRPr="0062425D">
        <w:rPr>
          <w:i/>
          <w:iCs/>
          <w:noProof/>
          <w:szCs w:val="24"/>
        </w:rPr>
        <w:t>Undang-Undang Nomor 4 Tahun 2009 Tentang Pertambangan Mineral Dan Batubara (LN No. 4 Tahun 2009, TLN No. 4959)</w:t>
      </w:r>
      <w:r w:rsidRPr="0062425D">
        <w:rPr>
          <w:noProof/>
          <w:szCs w:val="24"/>
        </w:rPr>
        <w:t>.</w:t>
      </w:r>
    </w:p>
    <w:p w14:paraId="30DA7922" w14:textId="77777777" w:rsidR="00C93F1C" w:rsidRPr="0062425D" w:rsidRDefault="00C93F1C" w:rsidP="0062425D">
      <w:pPr>
        <w:widowControl w:val="0"/>
        <w:autoSpaceDE w:val="0"/>
        <w:autoSpaceDN w:val="0"/>
        <w:adjustRightInd w:val="0"/>
        <w:spacing w:before="120" w:after="120"/>
        <w:ind w:left="480" w:hanging="480"/>
        <w:jc w:val="both"/>
        <w:rPr>
          <w:noProof/>
          <w:szCs w:val="24"/>
        </w:rPr>
      </w:pPr>
      <w:r w:rsidRPr="0062425D">
        <w:rPr>
          <w:noProof/>
          <w:szCs w:val="24"/>
        </w:rPr>
        <w:t xml:space="preserve">Indonesia. 2010. </w:t>
      </w:r>
      <w:r w:rsidRPr="0062425D">
        <w:rPr>
          <w:i/>
          <w:iCs/>
          <w:noProof/>
          <w:szCs w:val="24"/>
        </w:rPr>
        <w:t>Peraturan Pemerintah Nomor 23 Tahun 2010 Tentang Pelaksanaan Kegiatan Usaha Pertambangan Mineral Dan Batubara (LN No. 29 Tahun 2010, TLN No. 5111)</w:t>
      </w:r>
      <w:r w:rsidRPr="0062425D">
        <w:rPr>
          <w:noProof/>
          <w:szCs w:val="24"/>
        </w:rPr>
        <w:t>.</w:t>
      </w:r>
    </w:p>
    <w:p w14:paraId="4865CBFE" w14:textId="77777777" w:rsidR="00C93F1C" w:rsidRPr="0062425D" w:rsidRDefault="00C93F1C" w:rsidP="0062425D">
      <w:pPr>
        <w:widowControl w:val="0"/>
        <w:autoSpaceDE w:val="0"/>
        <w:autoSpaceDN w:val="0"/>
        <w:adjustRightInd w:val="0"/>
        <w:spacing w:before="120" w:after="120"/>
        <w:ind w:left="480" w:hanging="480"/>
        <w:jc w:val="both"/>
        <w:rPr>
          <w:noProof/>
          <w:szCs w:val="24"/>
        </w:rPr>
      </w:pPr>
      <w:r w:rsidRPr="0062425D">
        <w:rPr>
          <w:noProof/>
          <w:szCs w:val="24"/>
        </w:rPr>
        <w:t xml:space="preserve">Indonesia. 2015. </w:t>
      </w:r>
      <w:r w:rsidRPr="0062425D">
        <w:rPr>
          <w:i/>
          <w:iCs/>
          <w:noProof/>
          <w:szCs w:val="24"/>
        </w:rPr>
        <w:t>Surat Edaran Mahkamah Agung Nomor 3 Tahun 2015 Tentang Pemberlakuan Rumusan Hasil Rapat Pleno Kamar Mahkamah Agung Tahun 2015 Sebagai Pedoman Pelaksanaan Tugas Bagi Pengadilan</w:t>
      </w:r>
      <w:r w:rsidRPr="0062425D">
        <w:rPr>
          <w:noProof/>
          <w:szCs w:val="24"/>
        </w:rPr>
        <w:t>.</w:t>
      </w:r>
    </w:p>
    <w:p w14:paraId="044FA36C" w14:textId="77777777" w:rsidR="00C93F1C" w:rsidRPr="0062425D" w:rsidRDefault="00C93F1C" w:rsidP="0062425D">
      <w:pPr>
        <w:widowControl w:val="0"/>
        <w:autoSpaceDE w:val="0"/>
        <w:autoSpaceDN w:val="0"/>
        <w:adjustRightInd w:val="0"/>
        <w:spacing w:before="120" w:after="120"/>
        <w:ind w:left="480" w:hanging="480"/>
        <w:jc w:val="both"/>
        <w:rPr>
          <w:noProof/>
          <w:szCs w:val="24"/>
        </w:rPr>
      </w:pPr>
      <w:r w:rsidRPr="0062425D">
        <w:rPr>
          <w:noProof/>
          <w:szCs w:val="24"/>
        </w:rPr>
        <w:t xml:space="preserve">Ismi, Hayatul. 2014. “Hak Atas Tanah Dalam Pengelolaan Sumber Daya Alam Mineral Dan Batubara.” </w:t>
      </w:r>
      <w:r w:rsidRPr="0062425D">
        <w:rPr>
          <w:i/>
          <w:iCs/>
          <w:noProof/>
          <w:szCs w:val="24"/>
        </w:rPr>
        <w:t>Jurnal Ilmu Hukum</w:t>
      </w:r>
      <w:r w:rsidRPr="0062425D">
        <w:rPr>
          <w:noProof/>
          <w:szCs w:val="24"/>
        </w:rPr>
        <w:t xml:space="preserve"> 2.</w:t>
      </w:r>
    </w:p>
    <w:p w14:paraId="7E3D1908" w14:textId="77777777" w:rsidR="00C93F1C" w:rsidRPr="0062425D" w:rsidRDefault="00C93F1C" w:rsidP="0062425D">
      <w:pPr>
        <w:widowControl w:val="0"/>
        <w:autoSpaceDE w:val="0"/>
        <w:autoSpaceDN w:val="0"/>
        <w:adjustRightInd w:val="0"/>
        <w:spacing w:before="120" w:after="120"/>
        <w:ind w:left="480" w:hanging="480"/>
        <w:jc w:val="both"/>
        <w:rPr>
          <w:noProof/>
          <w:szCs w:val="24"/>
        </w:rPr>
      </w:pPr>
      <w:r w:rsidRPr="0062425D">
        <w:rPr>
          <w:noProof/>
          <w:szCs w:val="24"/>
        </w:rPr>
        <w:t>Kristina. 2021. “Apa Pulau Dengan Potensi Cadangan Batubara Terbesar Di Indonesia.” Retrieved February 20, 2022 (https://www.detik.com/edu/detikpedia/d-5690757/apa-pulau-dengan-potensi-cadangan-batubara-terbesar-di-indonesia#:~:text=Pulau Kalimantan menyimpan cadangan sebesar,di angka 558 juta ton.).</w:t>
      </w:r>
    </w:p>
    <w:p w14:paraId="08F64DF5" w14:textId="77777777" w:rsidR="00C93F1C" w:rsidRPr="0062425D" w:rsidRDefault="00C93F1C" w:rsidP="0062425D">
      <w:pPr>
        <w:widowControl w:val="0"/>
        <w:autoSpaceDE w:val="0"/>
        <w:autoSpaceDN w:val="0"/>
        <w:adjustRightInd w:val="0"/>
        <w:spacing w:before="120" w:after="120"/>
        <w:ind w:left="480" w:hanging="480"/>
        <w:jc w:val="both"/>
        <w:rPr>
          <w:noProof/>
          <w:szCs w:val="24"/>
        </w:rPr>
      </w:pPr>
      <w:r w:rsidRPr="0062425D">
        <w:rPr>
          <w:noProof/>
          <w:szCs w:val="24"/>
        </w:rPr>
        <w:t>Kurnia, Abi Jam’an. 2019. “Dapatkah Pemegang Izin Usaha Pertambangan Diberikan Hak Atas Tanah?” Retrieved November 30, 2021 (https://www.google.com/search?q=hak+atas+tanah+IUP&amp;oq=hak+atas+tanah+IUP&amp;aqs=edge..69i57j0i333l4.6089j0j1&amp;sourceid=chrome&amp;ie=UTF-8).</w:t>
      </w:r>
    </w:p>
    <w:p w14:paraId="6C1961D4" w14:textId="77777777" w:rsidR="00C93F1C" w:rsidRPr="0062425D" w:rsidRDefault="00C93F1C" w:rsidP="0062425D">
      <w:pPr>
        <w:widowControl w:val="0"/>
        <w:autoSpaceDE w:val="0"/>
        <w:autoSpaceDN w:val="0"/>
        <w:adjustRightInd w:val="0"/>
        <w:spacing w:before="120" w:after="120"/>
        <w:ind w:left="480" w:hanging="480"/>
        <w:jc w:val="both"/>
        <w:rPr>
          <w:noProof/>
          <w:szCs w:val="24"/>
        </w:rPr>
      </w:pPr>
      <w:r w:rsidRPr="0062425D">
        <w:rPr>
          <w:noProof/>
          <w:szCs w:val="24"/>
        </w:rPr>
        <w:t xml:space="preserve">Pramana, I. Gede Aris Eka, I. Made Arjaya, and Ida Ayu Putu Widiati. 2020. “Kompetensi Absolut Peradilan Tata Usaha Negara Terkait Titik Singgung Antara Peradilan Tata Usaha Negara Dan Peradilan Umum Dalam Sengketa Pertanahan.” </w:t>
      </w:r>
      <w:r w:rsidRPr="0062425D">
        <w:rPr>
          <w:i/>
          <w:iCs/>
          <w:noProof/>
          <w:szCs w:val="24"/>
        </w:rPr>
        <w:t>Jurnal Analogi Hukum</w:t>
      </w:r>
      <w:r w:rsidRPr="0062425D">
        <w:rPr>
          <w:noProof/>
          <w:szCs w:val="24"/>
        </w:rPr>
        <w:t xml:space="preserve"> 2(1):27–31.</w:t>
      </w:r>
    </w:p>
    <w:p w14:paraId="24CAFA34" w14:textId="77777777" w:rsidR="00C93F1C" w:rsidRPr="0062425D" w:rsidRDefault="00C93F1C" w:rsidP="0062425D">
      <w:pPr>
        <w:widowControl w:val="0"/>
        <w:autoSpaceDE w:val="0"/>
        <w:autoSpaceDN w:val="0"/>
        <w:adjustRightInd w:val="0"/>
        <w:spacing w:before="120" w:after="120"/>
        <w:ind w:left="480" w:hanging="480"/>
        <w:jc w:val="both"/>
        <w:rPr>
          <w:noProof/>
          <w:szCs w:val="24"/>
        </w:rPr>
      </w:pPr>
      <w:r w:rsidRPr="0062425D">
        <w:rPr>
          <w:noProof/>
          <w:szCs w:val="24"/>
        </w:rPr>
        <w:t xml:space="preserve">Sangadji, Z. A. 2003. </w:t>
      </w:r>
      <w:r w:rsidRPr="0062425D">
        <w:rPr>
          <w:i/>
          <w:iCs/>
          <w:noProof/>
          <w:szCs w:val="24"/>
        </w:rPr>
        <w:t>Kompetensi Badan Peradilan Umum Dan Peradilan Tata Usaha Negara, Dalam Gugatan Pembatalan Sertipikat Tanah</w:t>
      </w:r>
      <w:r w:rsidRPr="0062425D">
        <w:rPr>
          <w:noProof/>
          <w:szCs w:val="24"/>
        </w:rPr>
        <w:t>. Bandung: PT. Citra Aditya Bakti.</w:t>
      </w:r>
    </w:p>
    <w:p w14:paraId="19ED5DDB" w14:textId="77777777" w:rsidR="00C93F1C" w:rsidRPr="0062425D" w:rsidRDefault="00C93F1C" w:rsidP="0062425D">
      <w:pPr>
        <w:widowControl w:val="0"/>
        <w:autoSpaceDE w:val="0"/>
        <w:autoSpaceDN w:val="0"/>
        <w:adjustRightInd w:val="0"/>
        <w:spacing w:before="120" w:after="120"/>
        <w:ind w:left="480" w:hanging="480"/>
        <w:jc w:val="both"/>
        <w:rPr>
          <w:noProof/>
          <w:szCs w:val="24"/>
        </w:rPr>
      </w:pPr>
      <w:r w:rsidRPr="0062425D">
        <w:rPr>
          <w:noProof/>
          <w:szCs w:val="24"/>
        </w:rPr>
        <w:t xml:space="preserve">Supramono, Gatot. 2012. </w:t>
      </w:r>
      <w:r w:rsidRPr="0062425D">
        <w:rPr>
          <w:i/>
          <w:iCs/>
          <w:noProof/>
          <w:szCs w:val="24"/>
        </w:rPr>
        <w:t>Hukum Pertambangan Mineral Dan Batu Bara Di Indonesia</w:t>
      </w:r>
      <w:r w:rsidRPr="0062425D">
        <w:rPr>
          <w:noProof/>
          <w:szCs w:val="24"/>
        </w:rPr>
        <w:t>. Jakarta: Rineka Cipta.</w:t>
      </w:r>
    </w:p>
    <w:p w14:paraId="4236608B" w14:textId="77777777" w:rsidR="00C93F1C" w:rsidRPr="0062425D" w:rsidRDefault="00C93F1C" w:rsidP="0062425D">
      <w:pPr>
        <w:widowControl w:val="0"/>
        <w:autoSpaceDE w:val="0"/>
        <w:autoSpaceDN w:val="0"/>
        <w:adjustRightInd w:val="0"/>
        <w:spacing w:before="120" w:after="120"/>
        <w:ind w:left="480" w:hanging="480"/>
        <w:jc w:val="both"/>
        <w:rPr>
          <w:noProof/>
        </w:rPr>
      </w:pPr>
      <w:r w:rsidRPr="0062425D">
        <w:rPr>
          <w:noProof/>
          <w:szCs w:val="24"/>
        </w:rPr>
        <w:t xml:space="preserve">Utami, Ristya Amalia. 2018. “Tumpang Tindih Antara Izin Usaha Pertambangan Dengan Hak Guna Usaha Perkebunan.” </w:t>
      </w:r>
      <w:r w:rsidRPr="0062425D">
        <w:rPr>
          <w:i/>
          <w:iCs/>
          <w:noProof/>
          <w:szCs w:val="24"/>
        </w:rPr>
        <w:t>Justitia Jurnal Hukum</w:t>
      </w:r>
      <w:r w:rsidRPr="0062425D">
        <w:rPr>
          <w:noProof/>
          <w:szCs w:val="24"/>
        </w:rPr>
        <w:t xml:space="preserve"> 2(2):317–30.</w:t>
      </w:r>
    </w:p>
    <w:p w14:paraId="3265C7CA" w14:textId="1F2D77A2" w:rsidR="00002C5D" w:rsidRPr="0062425D" w:rsidRDefault="00454524" w:rsidP="0062425D">
      <w:pPr>
        <w:widowControl w:val="0"/>
        <w:autoSpaceDE w:val="0"/>
        <w:autoSpaceDN w:val="0"/>
        <w:adjustRightInd w:val="0"/>
        <w:spacing w:before="120" w:after="120"/>
        <w:jc w:val="both"/>
        <w:rPr>
          <w:bCs/>
          <w:lang w:val="id-ID"/>
        </w:rPr>
      </w:pPr>
      <w:r w:rsidRPr="0062425D">
        <w:rPr>
          <w:bCs/>
          <w:lang w:val="id-ID"/>
        </w:rPr>
        <w:fldChar w:fldCharType="end"/>
      </w:r>
    </w:p>
    <w:sectPr w:rsidR="00002C5D" w:rsidRPr="0062425D"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F2B4D" w14:textId="77777777" w:rsidR="001911A2" w:rsidRDefault="001911A2" w:rsidP="003D7F74">
      <w:r>
        <w:separator/>
      </w:r>
    </w:p>
  </w:endnote>
  <w:endnote w:type="continuationSeparator" w:id="0">
    <w:p w14:paraId="67F34753" w14:textId="77777777" w:rsidR="001911A2" w:rsidRDefault="001911A2"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88B33" w14:textId="2951B262" w:rsidR="008157C4" w:rsidRDefault="008157C4">
    <w:pPr>
      <w:pStyle w:val="Footer"/>
    </w:pPr>
    <w:r>
      <w:fldChar w:fldCharType="begin"/>
    </w:r>
    <w:r>
      <w:instrText xml:space="preserve"> PAGE   \* MERGEFORMAT </w:instrText>
    </w:r>
    <w:r>
      <w:fldChar w:fldCharType="separate"/>
    </w:r>
    <w:r w:rsidR="0062425D">
      <w:rPr>
        <w:noProof/>
      </w:rPr>
      <w:t>8</w:t>
    </w:r>
    <w:r>
      <w:fldChar w:fldCharType="end"/>
    </w:r>
  </w:p>
  <w:p w14:paraId="55B0F8B8" w14:textId="77777777" w:rsidR="008157C4" w:rsidRDefault="008157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E3C74" w14:textId="37DE0558" w:rsidR="00B84020" w:rsidRDefault="00693B10">
    <w:pPr>
      <w:pStyle w:val="Footer"/>
    </w:pPr>
    <w:r>
      <w:fldChar w:fldCharType="begin"/>
    </w:r>
    <w:r>
      <w:instrText xml:space="preserve"> PAGE   \* MERGEFORMAT </w:instrText>
    </w:r>
    <w:r>
      <w:fldChar w:fldCharType="separate"/>
    </w:r>
    <w:r w:rsidR="0062425D">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AF252" w14:textId="77777777" w:rsidR="001911A2" w:rsidRDefault="001911A2" w:rsidP="003D7F74">
      <w:r>
        <w:separator/>
      </w:r>
    </w:p>
  </w:footnote>
  <w:footnote w:type="continuationSeparator" w:id="0">
    <w:p w14:paraId="381EFBEB" w14:textId="77777777" w:rsidR="001911A2" w:rsidRDefault="001911A2" w:rsidP="003D7F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F1CE" w14:textId="596CDBFD" w:rsidR="003904DD" w:rsidRPr="003904DD" w:rsidRDefault="00821DE1">
    <w:pPr>
      <w:pStyle w:val="Header"/>
      <w:rPr>
        <w:lang w:val="id-ID"/>
      </w:rPr>
    </w:pPr>
    <w:r>
      <w:t>Jurnal Hukum: Novum</w:t>
    </w:r>
    <w:r w:rsidR="003904DD">
      <w:rPr>
        <w:lang w:val="id-ID"/>
      </w:rPr>
      <w:t xml:space="preserve">. Volume </w:t>
    </w:r>
    <w:r w:rsidR="003210F3">
      <w:t>xx</w:t>
    </w:r>
    <w:r w:rsidR="003904DD">
      <w:rPr>
        <w:lang w:val="id-ID"/>
      </w:rPr>
      <w:t xml:space="preserve"> Nomor </w:t>
    </w:r>
    <w:r w:rsidR="003210F3">
      <w:t>xx</w:t>
    </w:r>
    <w:r w:rsidR="003904DD">
      <w:rPr>
        <w:lang w:val="id-ID"/>
      </w:rPr>
      <w:t xml:space="preserve"> Tahun </w:t>
    </w:r>
    <w:r w:rsidR="003210F3">
      <w:t>2021</w:t>
    </w:r>
    <w:r w:rsidR="003904DD">
      <w:rPr>
        <w:lang w:val="id-ID"/>
      </w:rPr>
      <w:t>,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09186" w14:textId="07F24444" w:rsidR="003D7F74" w:rsidRPr="003A2B7C" w:rsidRDefault="00A83D4B" w:rsidP="003904DD">
    <w:pPr>
      <w:pStyle w:val="Header"/>
      <w:rPr>
        <w:iCs/>
      </w:rPr>
    </w:pPr>
    <w:r>
      <w:rPr>
        <w:iCs/>
        <w:lang w:val="id-ID"/>
      </w:rPr>
      <w:t>Analisis</w:t>
    </w:r>
    <w:r w:rsidR="00046942">
      <w:rPr>
        <w:iCs/>
      </w:rPr>
      <w:t xml:space="preserve"> Yuridis Tumpang Tindih</w:t>
    </w:r>
    <w:r w:rsidR="003A2B7C">
      <w:rPr>
        <w:iC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16B"/>
    <w:multiLevelType w:val="hybridMultilevel"/>
    <w:tmpl w:val="B5CCD9E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698231E"/>
    <w:multiLevelType w:val="hybridMultilevel"/>
    <w:tmpl w:val="1C2E577E"/>
    <w:lvl w:ilvl="0" w:tplc="BC34930E">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 w15:restartNumberingAfterBreak="0">
    <w:nsid w:val="07E45986"/>
    <w:multiLevelType w:val="hybridMultilevel"/>
    <w:tmpl w:val="E1BCAEA2"/>
    <w:lvl w:ilvl="0" w:tplc="930826B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8DF00BE"/>
    <w:multiLevelType w:val="hybridMultilevel"/>
    <w:tmpl w:val="CEEA8FCA"/>
    <w:lvl w:ilvl="0" w:tplc="A29A6A7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DC90248"/>
    <w:multiLevelType w:val="multilevel"/>
    <w:tmpl w:val="44CE114E"/>
    <w:lvl w:ilvl="0">
      <w:start w:val="1"/>
      <w:numFmt w:val="decimal"/>
      <w:lvlText w:val="%1)"/>
      <w:lvlJc w:val="left"/>
      <w:pPr>
        <w:ind w:left="2160" w:hanging="360"/>
      </w:pPr>
      <w:rPr>
        <w:rFonts w:hint="default"/>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15:restartNumberingAfterBreak="0">
    <w:nsid w:val="0DCA2222"/>
    <w:multiLevelType w:val="hybridMultilevel"/>
    <w:tmpl w:val="6BDE9B0E"/>
    <w:lvl w:ilvl="0" w:tplc="1DDE37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0E2C6940"/>
    <w:multiLevelType w:val="hybridMultilevel"/>
    <w:tmpl w:val="18B8B60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0F1268EE"/>
    <w:multiLevelType w:val="hybridMultilevel"/>
    <w:tmpl w:val="77D4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52AF8"/>
    <w:multiLevelType w:val="hybridMultilevel"/>
    <w:tmpl w:val="92DA3DEE"/>
    <w:lvl w:ilvl="0" w:tplc="3AC86F7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11D7236A"/>
    <w:multiLevelType w:val="multilevel"/>
    <w:tmpl w:val="C5224F64"/>
    <w:lvl w:ilvl="0">
      <w:start w:val="1"/>
      <w:numFmt w:val="upperRoman"/>
      <w:lvlText w:val="%1)"/>
      <w:lvlJc w:val="right"/>
      <w:pPr>
        <w:ind w:left="2160" w:hanging="360"/>
      </w:pPr>
      <w:rPr>
        <w:rFonts w:hint="default"/>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15:restartNumberingAfterBreak="0">
    <w:nsid w:val="17CE6C52"/>
    <w:multiLevelType w:val="multilevel"/>
    <w:tmpl w:val="830CF168"/>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15:restartNumberingAfterBreak="0">
    <w:nsid w:val="17E25CC9"/>
    <w:multiLevelType w:val="hybridMultilevel"/>
    <w:tmpl w:val="E2267A9A"/>
    <w:lvl w:ilvl="0" w:tplc="9FEA7D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A137447"/>
    <w:multiLevelType w:val="multilevel"/>
    <w:tmpl w:val="0CA6B8BA"/>
    <w:lvl w:ilvl="0">
      <w:start w:val="1"/>
      <w:numFmt w:val="decimal"/>
      <w:lvlText w:val="(%1)"/>
      <w:lvlJc w:val="left"/>
      <w:pPr>
        <w:ind w:left="2160" w:hanging="360"/>
      </w:pPr>
      <w:rPr>
        <w:rFonts w:hint="default"/>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15:restartNumberingAfterBreak="0">
    <w:nsid w:val="1E7E7D6E"/>
    <w:multiLevelType w:val="hybridMultilevel"/>
    <w:tmpl w:val="57D6436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15E418D"/>
    <w:multiLevelType w:val="hybridMultilevel"/>
    <w:tmpl w:val="D77659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BC4FB0"/>
    <w:multiLevelType w:val="multilevel"/>
    <w:tmpl w:val="D7464422"/>
    <w:lvl w:ilvl="0">
      <w:start w:val="1"/>
      <w:numFmt w:val="upperRoman"/>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ascii="Times New Roman" w:eastAsia="SimSun" w:hAnsi="Times New Roman" w:cs="Times New Roman"/>
        <w:b w:val="0"/>
        <w:bCs w:val="0"/>
        <w:i w:val="0"/>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26FE1FCF"/>
    <w:multiLevelType w:val="hybridMultilevel"/>
    <w:tmpl w:val="33826962"/>
    <w:lvl w:ilvl="0" w:tplc="F5101EA8">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93F80684">
      <w:start w:val="1"/>
      <w:numFmt w:val="lowerLetter"/>
      <w:lvlText w:val="%2."/>
      <w:lvlJc w:val="left"/>
      <w:pPr>
        <w:tabs>
          <w:tab w:val="num" w:pos="1440"/>
        </w:tabs>
        <w:ind w:left="1440" w:hanging="360"/>
      </w:pPr>
      <w:rPr>
        <w:rFonts w:cs="Times New Roman"/>
      </w:rPr>
    </w:lvl>
    <w:lvl w:ilvl="2" w:tplc="6F822CDE">
      <w:start w:val="1"/>
      <w:numFmt w:val="lowerRoman"/>
      <w:lvlText w:val="%3."/>
      <w:lvlJc w:val="right"/>
      <w:pPr>
        <w:tabs>
          <w:tab w:val="num" w:pos="2160"/>
        </w:tabs>
        <w:ind w:left="2160" w:hanging="180"/>
      </w:pPr>
      <w:rPr>
        <w:rFonts w:cs="Times New Roman"/>
      </w:rPr>
    </w:lvl>
    <w:lvl w:ilvl="3" w:tplc="86A839CE">
      <w:start w:val="1"/>
      <w:numFmt w:val="decimal"/>
      <w:lvlText w:val="%4."/>
      <w:lvlJc w:val="left"/>
      <w:pPr>
        <w:tabs>
          <w:tab w:val="num" w:pos="2880"/>
        </w:tabs>
        <w:ind w:left="2880" w:hanging="360"/>
      </w:pPr>
      <w:rPr>
        <w:rFonts w:cs="Times New Roman"/>
      </w:rPr>
    </w:lvl>
    <w:lvl w:ilvl="4" w:tplc="FF5CF92A">
      <w:start w:val="1"/>
      <w:numFmt w:val="lowerLetter"/>
      <w:lvlText w:val="%5."/>
      <w:lvlJc w:val="left"/>
      <w:pPr>
        <w:tabs>
          <w:tab w:val="num" w:pos="3600"/>
        </w:tabs>
        <w:ind w:left="3600" w:hanging="360"/>
      </w:pPr>
      <w:rPr>
        <w:rFonts w:cs="Times New Roman"/>
      </w:rPr>
    </w:lvl>
    <w:lvl w:ilvl="5" w:tplc="51189E50">
      <w:start w:val="1"/>
      <w:numFmt w:val="lowerRoman"/>
      <w:lvlText w:val="%6."/>
      <w:lvlJc w:val="right"/>
      <w:pPr>
        <w:tabs>
          <w:tab w:val="num" w:pos="4320"/>
        </w:tabs>
        <w:ind w:left="4320" w:hanging="180"/>
      </w:pPr>
      <w:rPr>
        <w:rFonts w:cs="Times New Roman"/>
      </w:rPr>
    </w:lvl>
    <w:lvl w:ilvl="6" w:tplc="F4483918">
      <w:start w:val="1"/>
      <w:numFmt w:val="decimal"/>
      <w:lvlText w:val="%7."/>
      <w:lvlJc w:val="left"/>
      <w:pPr>
        <w:tabs>
          <w:tab w:val="num" w:pos="5040"/>
        </w:tabs>
        <w:ind w:left="5040" w:hanging="360"/>
      </w:pPr>
      <w:rPr>
        <w:rFonts w:cs="Times New Roman"/>
      </w:rPr>
    </w:lvl>
    <w:lvl w:ilvl="7" w:tplc="B254E07C">
      <w:start w:val="1"/>
      <w:numFmt w:val="lowerLetter"/>
      <w:lvlText w:val="%8."/>
      <w:lvlJc w:val="left"/>
      <w:pPr>
        <w:tabs>
          <w:tab w:val="num" w:pos="5760"/>
        </w:tabs>
        <w:ind w:left="5760" w:hanging="360"/>
      </w:pPr>
      <w:rPr>
        <w:rFonts w:cs="Times New Roman"/>
      </w:rPr>
    </w:lvl>
    <w:lvl w:ilvl="8" w:tplc="A8483EC0">
      <w:start w:val="1"/>
      <w:numFmt w:val="lowerRoman"/>
      <w:lvlText w:val="%9."/>
      <w:lvlJc w:val="right"/>
      <w:pPr>
        <w:tabs>
          <w:tab w:val="num" w:pos="6480"/>
        </w:tabs>
        <w:ind w:left="6480" w:hanging="180"/>
      </w:pPr>
      <w:rPr>
        <w:rFonts w:cs="Times New Roman"/>
      </w:rPr>
    </w:lvl>
  </w:abstractNum>
  <w:abstractNum w:abstractNumId="19" w15:restartNumberingAfterBreak="0">
    <w:nsid w:val="2C4923E8"/>
    <w:multiLevelType w:val="hybridMultilevel"/>
    <w:tmpl w:val="5AB66E0A"/>
    <w:lvl w:ilvl="0" w:tplc="AE00DCAA">
      <w:start w:val="1"/>
      <w:numFmt w:val="lowerLetter"/>
      <w:lvlText w:val="%1."/>
      <w:lvlJc w:val="left"/>
      <w:pPr>
        <w:ind w:left="1146" w:hanging="360"/>
      </w:pPr>
    </w:lvl>
    <w:lvl w:ilvl="1" w:tplc="F3DAADFE" w:tentative="1">
      <w:start w:val="1"/>
      <w:numFmt w:val="lowerLetter"/>
      <w:lvlText w:val="%2."/>
      <w:lvlJc w:val="left"/>
      <w:pPr>
        <w:ind w:left="1866" w:hanging="360"/>
      </w:pPr>
    </w:lvl>
    <w:lvl w:ilvl="2" w:tplc="99BC3CA6" w:tentative="1">
      <w:start w:val="1"/>
      <w:numFmt w:val="lowerRoman"/>
      <w:lvlText w:val="%3."/>
      <w:lvlJc w:val="right"/>
      <w:pPr>
        <w:ind w:left="2586" w:hanging="180"/>
      </w:pPr>
    </w:lvl>
    <w:lvl w:ilvl="3" w:tplc="30604362" w:tentative="1">
      <w:start w:val="1"/>
      <w:numFmt w:val="decimal"/>
      <w:lvlText w:val="%4."/>
      <w:lvlJc w:val="left"/>
      <w:pPr>
        <w:ind w:left="3306" w:hanging="360"/>
      </w:pPr>
    </w:lvl>
    <w:lvl w:ilvl="4" w:tplc="924AA558" w:tentative="1">
      <w:start w:val="1"/>
      <w:numFmt w:val="lowerLetter"/>
      <w:lvlText w:val="%5."/>
      <w:lvlJc w:val="left"/>
      <w:pPr>
        <w:ind w:left="4026" w:hanging="360"/>
      </w:pPr>
    </w:lvl>
    <w:lvl w:ilvl="5" w:tplc="CF9C5356" w:tentative="1">
      <w:start w:val="1"/>
      <w:numFmt w:val="lowerRoman"/>
      <w:lvlText w:val="%6."/>
      <w:lvlJc w:val="right"/>
      <w:pPr>
        <w:ind w:left="4746" w:hanging="180"/>
      </w:pPr>
    </w:lvl>
    <w:lvl w:ilvl="6" w:tplc="845AFDAA" w:tentative="1">
      <w:start w:val="1"/>
      <w:numFmt w:val="decimal"/>
      <w:lvlText w:val="%7."/>
      <w:lvlJc w:val="left"/>
      <w:pPr>
        <w:ind w:left="5466" w:hanging="360"/>
      </w:pPr>
    </w:lvl>
    <w:lvl w:ilvl="7" w:tplc="01ECF352" w:tentative="1">
      <w:start w:val="1"/>
      <w:numFmt w:val="lowerLetter"/>
      <w:lvlText w:val="%8."/>
      <w:lvlJc w:val="left"/>
      <w:pPr>
        <w:ind w:left="6186" w:hanging="360"/>
      </w:pPr>
    </w:lvl>
    <w:lvl w:ilvl="8" w:tplc="4356A5CC" w:tentative="1">
      <w:start w:val="1"/>
      <w:numFmt w:val="lowerRoman"/>
      <w:lvlText w:val="%9."/>
      <w:lvlJc w:val="right"/>
      <w:pPr>
        <w:ind w:left="6906" w:hanging="180"/>
      </w:pPr>
    </w:lvl>
  </w:abstractNum>
  <w:abstractNum w:abstractNumId="20" w15:restartNumberingAfterBreak="0">
    <w:nsid w:val="2D0552E2"/>
    <w:multiLevelType w:val="hybridMultilevel"/>
    <w:tmpl w:val="CDC0DCA0"/>
    <w:lvl w:ilvl="0" w:tplc="E1644E24">
      <w:start w:val="1"/>
      <w:numFmt w:val="lowerLetter"/>
      <w:lvlText w:val="%1."/>
      <w:lvlJc w:val="left"/>
      <w:pPr>
        <w:ind w:left="1069" w:hanging="360"/>
      </w:pPr>
    </w:lvl>
    <w:lvl w:ilvl="1" w:tplc="2CBEFA4A" w:tentative="1">
      <w:start w:val="1"/>
      <w:numFmt w:val="lowerLetter"/>
      <w:lvlText w:val="%2."/>
      <w:lvlJc w:val="left"/>
      <w:pPr>
        <w:ind w:left="1789" w:hanging="360"/>
      </w:pPr>
    </w:lvl>
    <w:lvl w:ilvl="2" w:tplc="86108F9A" w:tentative="1">
      <w:start w:val="1"/>
      <w:numFmt w:val="lowerRoman"/>
      <w:lvlText w:val="%3."/>
      <w:lvlJc w:val="right"/>
      <w:pPr>
        <w:ind w:left="2509" w:hanging="180"/>
      </w:pPr>
    </w:lvl>
    <w:lvl w:ilvl="3" w:tplc="B122DE70" w:tentative="1">
      <w:start w:val="1"/>
      <w:numFmt w:val="decimal"/>
      <w:lvlText w:val="%4."/>
      <w:lvlJc w:val="left"/>
      <w:pPr>
        <w:ind w:left="3229" w:hanging="360"/>
      </w:pPr>
    </w:lvl>
    <w:lvl w:ilvl="4" w:tplc="EB18BB8A" w:tentative="1">
      <w:start w:val="1"/>
      <w:numFmt w:val="lowerLetter"/>
      <w:lvlText w:val="%5."/>
      <w:lvlJc w:val="left"/>
      <w:pPr>
        <w:ind w:left="3949" w:hanging="360"/>
      </w:pPr>
    </w:lvl>
    <w:lvl w:ilvl="5" w:tplc="3856C0A4" w:tentative="1">
      <w:start w:val="1"/>
      <w:numFmt w:val="lowerRoman"/>
      <w:lvlText w:val="%6."/>
      <w:lvlJc w:val="right"/>
      <w:pPr>
        <w:ind w:left="4669" w:hanging="180"/>
      </w:pPr>
    </w:lvl>
    <w:lvl w:ilvl="6" w:tplc="FAB8151C" w:tentative="1">
      <w:start w:val="1"/>
      <w:numFmt w:val="decimal"/>
      <w:lvlText w:val="%7."/>
      <w:lvlJc w:val="left"/>
      <w:pPr>
        <w:ind w:left="5389" w:hanging="360"/>
      </w:pPr>
    </w:lvl>
    <w:lvl w:ilvl="7" w:tplc="51440BC6" w:tentative="1">
      <w:start w:val="1"/>
      <w:numFmt w:val="lowerLetter"/>
      <w:lvlText w:val="%8."/>
      <w:lvlJc w:val="left"/>
      <w:pPr>
        <w:ind w:left="6109" w:hanging="360"/>
      </w:pPr>
    </w:lvl>
    <w:lvl w:ilvl="8" w:tplc="0BC26DA4" w:tentative="1">
      <w:start w:val="1"/>
      <w:numFmt w:val="lowerRoman"/>
      <w:lvlText w:val="%9."/>
      <w:lvlJc w:val="right"/>
      <w:pPr>
        <w:ind w:left="6829" w:hanging="180"/>
      </w:pPr>
    </w:lvl>
  </w:abstractNum>
  <w:abstractNum w:abstractNumId="21" w15:restartNumberingAfterBreak="0">
    <w:nsid w:val="2ECD3685"/>
    <w:multiLevelType w:val="hybridMultilevel"/>
    <w:tmpl w:val="7CDC83AE"/>
    <w:lvl w:ilvl="0" w:tplc="27A06A8C">
      <w:start w:val="1"/>
      <w:numFmt w:val="decimal"/>
      <w:lvlText w:val="%1."/>
      <w:lvlJc w:val="left"/>
      <w:pPr>
        <w:ind w:left="833" w:hanging="361"/>
        <w:jc w:val="left"/>
      </w:pPr>
      <w:rPr>
        <w:rFonts w:ascii="Times New Roman" w:eastAsia="Times New Roman" w:hAnsi="Times New Roman" w:cs="Times New Roman" w:hint="default"/>
        <w:b/>
        <w:bCs/>
        <w:w w:val="100"/>
        <w:sz w:val="20"/>
        <w:szCs w:val="20"/>
        <w:lang w:eastAsia="en-US" w:bidi="ar-SA"/>
      </w:rPr>
    </w:lvl>
    <w:lvl w:ilvl="1" w:tplc="1D0EE590">
      <w:numFmt w:val="bullet"/>
      <w:lvlText w:val="•"/>
      <w:lvlJc w:val="left"/>
      <w:pPr>
        <w:ind w:left="1231" w:hanging="361"/>
      </w:pPr>
      <w:rPr>
        <w:rFonts w:hint="default"/>
        <w:lang w:eastAsia="en-US" w:bidi="ar-SA"/>
      </w:rPr>
    </w:lvl>
    <w:lvl w:ilvl="2" w:tplc="4B9E84AA">
      <w:numFmt w:val="bullet"/>
      <w:lvlText w:val="•"/>
      <w:lvlJc w:val="left"/>
      <w:pPr>
        <w:ind w:left="1623" w:hanging="361"/>
      </w:pPr>
      <w:rPr>
        <w:rFonts w:hint="default"/>
        <w:lang w:eastAsia="en-US" w:bidi="ar-SA"/>
      </w:rPr>
    </w:lvl>
    <w:lvl w:ilvl="3" w:tplc="E410BF7E">
      <w:numFmt w:val="bullet"/>
      <w:lvlText w:val="•"/>
      <w:lvlJc w:val="left"/>
      <w:pPr>
        <w:ind w:left="2015" w:hanging="361"/>
      </w:pPr>
      <w:rPr>
        <w:rFonts w:hint="default"/>
        <w:lang w:eastAsia="en-US" w:bidi="ar-SA"/>
      </w:rPr>
    </w:lvl>
    <w:lvl w:ilvl="4" w:tplc="D8525986">
      <w:numFmt w:val="bullet"/>
      <w:lvlText w:val="•"/>
      <w:lvlJc w:val="left"/>
      <w:pPr>
        <w:ind w:left="2407" w:hanging="361"/>
      </w:pPr>
      <w:rPr>
        <w:rFonts w:hint="default"/>
        <w:lang w:eastAsia="en-US" w:bidi="ar-SA"/>
      </w:rPr>
    </w:lvl>
    <w:lvl w:ilvl="5" w:tplc="EF4CB47C">
      <w:numFmt w:val="bullet"/>
      <w:lvlText w:val="•"/>
      <w:lvlJc w:val="left"/>
      <w:pPr>
        <w:ind w:left="2799" w:hanging="361"/>
      </w:pPr>
      <w:rPr>
        <w:rFonts w:hint="default"/>
        <w:lang w:eastAsia="en-US" w:bidi="ar-SA"/>
      </w:rPr>
    </w:lvl>
    <w:lvl w:ilvl="6" w:tplc="6DE44EEE">
      <w:numFmt w:val="bullet"/>
      <w:lvlText w:val="•"/>
      <w:lvlJc w:val="left"/>
      <w:pPr>
        <w:ind w:left="3191" w:hanging="361"/>
      </w:pPr>
      <w:rPr>
        <w:rFonts w:hint="default"/>
        <w:lang w:eastAsia="en-US" w:bidi="ar-SA"/>
      </w:rPr>
    </w:lvl>
    <w:lvl w:ilvl="7" w:tplc="6EBED69A">
      <w:numFmt w:val="bullet"/>
      <w:lvlText w:val="•"/>
      <w:lvlJc w:val="left"/>
      <w:pPr>
        <w:ind w:left="3583" w:hanging="361"/>
      </w:pPr>
      <w:rPr>
        <w:rFonts w:hint="default"/>
        <w:lang w:eastAsia="en-US" w:bidi="ar-SA"/>
      </w:rPr>
    </w:lvl>
    <w:lvl w:ilvl="8" w:tplc="5DC6EAC6">
      <w:numFmt w:val="bullet"/>
      <w:lvlText w:val="•"/>
      <w:lvlJc w:val="left"/>
      <w:pPr>
        <w:ind w:left="3975" w:hanging="361"/>
      </w:pPr>
      <w:rPr>
        <w:rFonts w:hint="default"/>
        <w:lang w:eastAsia="en-US" w:bidi="ar-SA"/>
      </w:rPr>
    </w:lvl>
  </w:abstractNum>
  <w:abstractNum w:abstractNumId="22" w15:restartNumberingAfterBreak="0">
    <w:nsid w:val="31930501"/>
    <w:multiLevelType w:val="hybridMultilevel"/>
    <w:tmpl w:val="B944F08A"/>
    <w:lvl w:ilvl="0" w:tplc="A294796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3475394B"/>
    <w:multiLevelType w:val="hybridMultilevel"/>
    <w:tmpl w:val="BA84F6DE"/>
    <w:lvl w:ilvl="0" w:tplc="04090019">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35A5370F"/>
    <w:multiLevelType w:val="hybridMultilevel"/>
    <w:tmpl w:val="F73AF66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5" w15:restartNumberingAfterBreak="0">
    <w:nsid w:val="37660336"/>
    <w:multiLevelType w:val="hybridMultilevel"/>
    <w:tmpl w:val="EA402BE8"/>
    <w:lvl w:ilvl="0" w:tplc="04090019">
      <w:start w:val="1"/>
      <w:numFmt w:val="bullet"/>
      <w:pStyle w:val="bulletlist"/>
      <w:lvlText w:val=""/>
      <w:lvlJc w:val="left"/>
      <w:pPr>
        <w:tabs>
          <w:tab w:val="num" w:pos="72"/>
        </w:tabs>
        <w:ind w:left="72" w:hanging="360"/>
      </w:pPr>
      <w:rPr>
        <w:rFonts w:ascii="Symbol" w:hAnsi="Symbol" w:hint="default"/>
      </w:rPr>
    </w:lvl>
    <w:lvl w:ilvl="1" w:tplc="04090019">
      <w:start w:val="1"/>
      <w:numFmt w:val="bullet"/>
      <w:lvlText w:val="o"/>
      <w:lvlJc w:val="left"/>
      <w:pPr>
        <w:tabs>
          <w:tab w:val="num" w:pos="864"/>
        </w:tabs>
        <w:ind w:left="864" w:hanging="360"/>
      </w:pPr>
      <w:rPr>
        <w:rFonts w:ascii="Courier New" w:hAnsi="Courier New" w:hint="default"/>
      </w:rPr>
    </w:lvl>
    <w:lvl w:ilvl="2" w:tplc="0409001B">
      <w:start w:val="1"/>
      <w:numFmt w:val="bullet"/>
      <w:lvlText w:val=""/>
      <w:lvlJc w:val="left"/>
      <w:pPr>
        <w:tabs>
          <w:tab w:val="num" w:pos="1584"/>
        </w:tabs>
        <w:ind w:left="1584" w:hanging="360"/>
      </w:pPr>
      <w:rPr>
        <w:rFonts w:ascii="Wingdings" w:hAnsi="Wingdings" w:hint="default"/>
      </w:rPr>
    </w:lvl>
    <w:lvl w:ilvl="3" w:tplc="0409000F">
      <w:start w:val="1"/>
      <w:numFmt w:val="bullet"/>
      <w:lvlText w:val=""/>
      <w:lvlJc w:val="left"/>
      <w:pPr>
        <w:tabs>
          <w:tab w:val="num" w:pos="2304"/>
        </w:tabs>
        <w:ind w:left="2304" w:hanging="360"/>
      </w:pPr>
      <w:rPr>
        <w:rFonts w:ascii="Symbol" w:hAnsi="Symbol" w:hint="default"/>
      </w:rPr>
    </w:lvl>
    <w:lvl w:ilvl="4" w:tplc="04090019">
      <w:start w:val="1"/>
      <w:numFmt w:val="bullet"/>
      <w:lvlText w:val="o"/>
      <w:lvlJc w:val="left"/>
      <w:pPr>
        <w:tabs>
          <w:tab w:val="num" w:pos="3024"/>
        </w:tabs>
        <w:ind w:left="3024" w:hanging="360"/>
      </w:pPr>
      <w:rPr>
        <w:rFonts w:ascii="Courier New" w:hAnsi="Courier New" w:hint="default"/>
      </w:rPr>
    </w:lvl>
    <w:lvl w:ilvl="5" w:tplc="0409001B">
      <w:start w:val="1"/>
      <w:numFmt w:val="bullet"/>
      <w:lvlText w:val=""/>
      <w:lvlJc w:val="left"/>
      <w:pPr>
        <w:tabs>
          <w:tab w:val="num" w:pos="3744"/>
        </w:tabs>
        <w:ind w:left="3744" w:hanging="360"/>
      </w:pPr>
      <w:rPr>
        <w:rFonts w:ascii="Wingdings" w:hAnsi="Wingdings" w:hint="default"/>
      </w:rPr>
    </w:lvl>
    <w:lvl w:ilvl="6" w:tplc="0409000F">
      <w:start w:val="1"/>
      <w:numFmt w:val="bullet"/>
      <w:lvlText w:val=""/>
      <w:lvlJc w:val="left"/>
      <w:pPr>
        <w:tabs>
          <w:tab w:val="num" w:pos="4464"/>
        </w:tabs>
        <w:ind w:left="4464" w:hanging="360"/>
      </w:pPr>
      <w:rPr>
        <w:rFonts w:ascii="Symbol" w:hAnsi="Symbol" w:hint="default"/>
      </w:rPr>
    </w:lvl>
    <w:lvl w:ilvl="7" w:tplc="04090019">
      <w:start w:val="1"/>
      <w:numFmt w:val="bullet"/>
      <w:lvlText w:val="o"/>
      <w:lvlJc w:val="left"/>
      <w:pPr>
        <w:tabs>
          <w:tab w:val="num" w:pos="5184"/>
        </w:tabs>
        <w:ind w:left="5184" w:hanging="360"/>
      </w:pPr>
      <w:rPr>
        <w:rFonts w:ascii="Courier New" w:hAnsi="Courier New" w:hint="default"/>
      </w:rPr>
    </w:lvl>
    <w:lvl w:ilvl="8" w:tplc="0409001B">
      <w:start w:val="1"/>
      <w:numFmt w:val="bullet"/>
      <w:lvlText w:val=""/>
      <w:lvlJc w:val="left"/>
      <w:pPr>
        <w:tabs>
          <w:tab w:val="num" w:pos="5904"/>
        </w:tabs>
        <w:ind w:left="5904" w:hanging="360"/>
      </w:pPr>
      <w:rPr>
        <w:rFonts w:ascii="Wingdings" w:hAnsi="Wingdings" w:hint="default"/>
      </w:rPr>
    </w:lvl>
  </w:abstractNum>
  <w:abstractNum w:abstractNumId="26" w15:restartNumberingAfterBreak="0">
    <w:nsid w:val="399E137A"/>
    <w:multiLevelType w:val="hybridMultilevel"/>
    <w:tmpl w:val="5FD86C22"/>
    <w:lvl w:ilvl="0" w:tplc="54D0023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8" w15:restartNumberingAfterBreak="0">
    <w:nsid w:val="4189603E"/>
    <w:multiLevelType w:val="multilevel"/>
    <w:tmpl w:val="52062DA2"/>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val="0"/>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9" w15:restartNumberingAfterBreak="0">
    <w:nsid w:val="441929F3"/>
    <w:multiLevelType w:val="hybridMultilevel"/>
    <w:tmpl w:val="F79A91D8"/>
    <w:lvl w:ilvl="0" w:tplc="DEA26B2E">
      <w:start w:val="1"/>
      <w:numFmt w:val="decimal"/>
      <w:lvlText w:val="%1."/>
      <w:lvlJc w:val="left"/>
      <w:pPr>
        <w:tabs>
          <w:tab w:val="num" w:pos="720"/>
        </w:tabs>
        <w:ind w:left="720" w:hanging="360"/>
      </w:pPr>
      <w:rPr>
        <w:rFonts w:hint="default"/>
      </w:rPr>
    </w:lvl>
    <w:lvl w:ilvl="1" w:tplc="64B03748" w:tentative="1">
      <w:start w:val="1"/>
      <w:numFmt w:val="lowerLetter"/>
      <w:lvlText w:val="%2."/>
      <w:lvlJc w:val="left"/>
      <w:pPr>
        <w:tabs>
          <w:tab w:val="num" w:pos="1440"/>
        </w:tabs>
        <w:ind w:left="1440" w:hanging="360"/>
      </w:pPr>
    </w:lvl>
    <w:lvl w:ilvl="2" w:tplc="48B0D760" w:tentative="1">
      <w:start w:val="1"/>
      <w:numFmt w:val="lowerRoman"/>
      <w:lvlText w:val="%3."/>
      <w:lvlJc w:val="right"/>
      <w:pPr>
        <w:tabs>
          <w:tab w:val="num" w:pos="2160"/>
        </w:tabs>
        <w:ind w:left="2160" w:hanging="180"/>
      </w:pPr>
    </w:lvl>
    <w:lvl w:ilvl="3" w:tplc="104A30CE" w:tentative="1">
      <w:start w:val="1"/>
      <w:numFmt w:val="decimal"/>
      <w:lvlText w:val="%4."/>
      <w:lvlJc w:val="left"/>
      <w:pPr>
        <w:tabs>
          <w:tab w:val="num" w:pos="2880"/>
        </w:tabs>
        <w:ind w:left="2880" w:hanging="360"/>
      </w:pPr>
    </w:lvl>
    <w:lvl w:ilvl="4" w:tplc="D5FCDC40" w:tentative="1">
      <w:start w:val="1"/>
      <w:numFmt w:val="lowerLetter"/>
      <w:lvlText w:val="%5."/>
      <w:lvlJc w:val="left"/>
      <w:pPr>
        <w:tabs>
          <w:tab w:val="num" w:pos="3600"/>
        </w:tabs>
        <w:ind w:left="3600" w:hanging="360"/>
      </w:pPr>
    </w:lvl>
    <w:lvl w:ilvl="5" w:tplc="33DCF3FE" w:tentative="1">
      <w:start w:val="1"/>
      <w:numFmt w:val="lowerRoman"/>
      <w:lvlText w:val="%6."/>
      <w:lvlJc w:val="right"/>
      <w:pPr>
        <w:tabs>
          <w:tab w:val="num" w:pos="4320"/>
        </w:tabs>
        <w:ind w:left="4320" w:hanging="180"/>
      </w:pPr>
    </w:lvl>
    <w:lvl w:ilvl="6" w:tplc="1C60E1A4" w:tentative="1">
      <w:start w:val="1"/>
      <w:numFmt w:val="decimal"/>
      <w:lvlText w:val="%7."/>
      <w:lvlJc w:val="left"/>
      <w:pPr>
        <w:tabs>
          <w:tab w:val="num" w:pos="5040"/>
        </w:tabs>
        <w:ind w:left="5040" w:hanging="360"/>
      </w:pPr>
    </w:lvl>
    <w:lvl w:ilvl="7" w:tplc="F7CE4DD6" w:tentative="1">
      <w:start w:val="1"/>
      <w:numFmt w:val="lowerLetter"/>
      <w:lvlText w:val="%8."/>
      <w:lvlJc w:val="left"/>
      <w:pPr>
        <w:tabs>
          <w:tab w:val="num" w:pos="5760"/>
        </w:tabs>
        <w:ind w:left="5760" w:hanging="360"/>
      </w:pPr>
    </w:lvl>
    <w:lvl w:ilvl="8" w:tplc="A03CA4A8" w:tentative="1">
      <w:start w:val="1"/>
      <w:numFmt w:val="lowerRoman"/>
      <w:lvlText w:val="%9."/>
      <w:lvlJc w:val="right"/>
      <w:pPr>
        <w:tabs>
          <w:tab w:val="num" w:pos="6480"/>
        </w:tabs>
        <w:ind w:left="6480" w:hanging="180"/>
      </w:pPr>
    </w:lvl>
  </w:abstractNum>
  <w:abstractNum w:abstractNumId="30" w15:restartNumberingAfterBreak="0">
    <w:nsid w:val="48A243F2"/>
    <w:multiLevelType w:val="hybridMultilevel"/>
    <w:tmpl w:val="3B546FE4"/>
    <w:lvl w:ilvl="0" w:tplc="DD662E66">
      <w:start w:val="1"/>
      <w:numFmt w:val="decimal"/>
      <w:lvlText w:val="%1."/>
      <w:lvlJc w:val="left"/>
      <w:pPr>
        <w:ind w:left="786" w:hanging="360"/>
      </w:pPr>
      <w:rPr>
        <w:rFonts w:hint="default"/>
      </w:rPr>
    </w:lvl>
    <w:lvl w:ilvl="1" w:tplc="60EA7F8A" w:tentative="1">
      <w:start w:val="1"/>
      <w:numFmt w:val="lowerLetter"/>
      <w:lvlText w:val="%2."/>
      <w:lvlJc w:val="left"/>
      <w:pPr>
        <w:ind w:left="1506" w:hanging="360"/>
      </w:pPr>
    </w:lvl>
    <w:lvl w:ilvl="2" w:tplc="599C1954" w:tentative="1">
      <w:start w:val="1"/>
      <w:numFmt w:val="lowerRoman"/>
      <w:lvlText w:val="%3."/>
      <w:lvlJc w:val="right"/>
      <w:pPr>
        <w:ind w:left="2226" w:hanging="180"/>
      </w:pPr>
    </w:lvl>
    <w:lvl w:ilvl="3" w:tplc="F0741E94" w:tentative="1">
      <w:start w:val="1"/>
      <w:numFmt w:val="decimal"/>
      <w:lvlText w:val="%4."/>
      <w:lvlJc w:val="left"/>
      <w:pPr>
        <w:ind w:left="2946" w:hanging="360"/>
      </w:pPr>
    </w:lvl>
    <w:lvl w:ilvl="4" w:tplc="5D784CFA" w:tentative="1">
      <w:start w:val="1"/>
      <w:numFmt w:val="lowerLetter"/>
      <w:lvlText w:val="%5."/>
      <w:lvlJc w:val="left"/>
      <w:pPr>
        <w:ind w:left="3666" w:hanging="360"/>
      </w:pPr>
    </w:lvl>
    <w:lvl w:ilvl="5" w:tplc="A8041DD2" w:tentative="1">
      <w:start w:val="1"/>
      <w:numFmt w:val="lowerRoman"/>
      <w:lvlText w:val="%6."/>
      <w:lvlJc w:val="right"/>
      <w:pPr>
        <w:ind w:left="4386" w:hanging="180"/>
      </w:pPr>
    </w:lvl>
    <w:lvl w:ilvl="6" w:tplc="8196C496" w:tentative="1">
      <w:start w:val="1"/>
      <w:numFmt w:val="decimal"/>
      <w:lvlText w:val="%7."/>
      <w:lvlJc w:val="left"/>
      <w:pPr>
        <w:ind w:left="5106" w:hanging="360"/>
      </w:pPr>
    </w:lvl>
    <w:lvl w:ilvl="7" w:tplc="38D817A6" w:tentative="1">
      <w:start w:val="1"/>
      <w:numFmt w:val="lowerLetter"/>
      <w:lvlText w:val="%8."/>
      <w:lvlJc w:val="left"/>
      <w:pPr>
        <w:ind w:left="5826" w:hanging="360"/>
      </w:pPr>
    </w:lvl>
    <w:lvl w:ilvl="8" w:tplc="ABBA8446" w:tentative="1">
      <w:start w:val="1"/>
      <w:numFmt w:val="lowerRoman"/>
      <w:lvlText w:val="%9."/>
      <w:lvlJc w:val="right"/>
      <w:pPr>
        <w:ind w:left="6546" w:hanging="180"/>
      </w:pPr>
    </w:lvl>
  </w:abstractNum>
  <w:abstractNum w:abstractNumId="31" w15:restartNumberingAfterBreak="0">
    <w:nsid w:val="4BB408B9"/>
    <w:multiLevelType w:val="hybridMultilevel"/>
    <w:tmpl w:val="BD1C7A44"/>
    <w:lvl w:ilvl="0" w:tplc="7934521A">
      <w:start w:val="1"/>
      <w:numFmt w:val="lowerLetter"/>
      <w:lvlText w:val="%1."/>
      <w:lvlJc w:val="left"/>
      <w:pPr>
        <w:ind w:left="1146" w:hanging="360"/>
      </w:pPr>
    </w:lvl>
    <w:lvl w:ilvl="1" w:tplc="2230FC22" w:tentative="1">
      <w:start w:val="1"/>
      <w:numFmt w:val="lowerLetter"/>
      <w:lvlText w:val="%2."/>
      <w:lvlJc w:val="left"/>
      <w:pPr>
        <w:ind w:left="1866" w:hanging="360"/>
      </w:pPr>
    </w:lvl>
    <w:lvl w:ilvl="2" w:tplc="6040CB20" w:tentative="1">
      <w:start w:val="1"/>
      <w:numFmt w:val="lowerRoman"/>
      <w:lvlText w:val="%3."/>
      <w:lvlJc w:val="right"/>
      <w:pPr>
        <w:ind w:left="2586" w:hanging="180"/>
      </w:pPr>
    </w:lvl>
    <w:lvl w:ilvl="3" w:tplc="077A4332" w:tentative="1">
      <w:start w:val="1"/>
      <w:numFmt w:val="decimal"/>
      <w:lvlText w:val="%4."/>
      <w:lvlJc w:val="left"/>
      <w:pPr>
        <w:ind w:left="3306" w:hanging="360"/>
      </w:pPr>
    </w:lvl>
    <w:lvl w:ilvl="4" w:tplc="4A8662D2" w:tentative="1">
      <w:start w:val="1"/>
      <w:numFmt w:val="lowerLetter"/>
      <w:lvlText w:val="%5."/>
      <w:lvlJc w:val="left"/>
      <w:pPr>
        <w:ind w:left="4026" w:hanging="360"/>
      </w:pPr>
    </w:lvl>
    <w:lvl w:ilvl="5" w:tplc="8C844334" w:tentative="1">
      <w:start w:val="1"/>
      <w:numFmt w:val="lowerRoman"/>
      <w:lvlText w:val="%6."/>
      <w:lvlJc w:val="right"/>
      <w:pPr>
        <w:ind w:left="4746" w:hanging="180"/>
      </w:pPr>
    </w:lvl>
    <w:lvl w:ilvl="6" w:tplc="B388F564" w:tentative="1">
      <w:start w:val="1"/>
      <w:numFmt w:val="decimal"/>
      <w:lvlText w:val="%7."/>
      <w:lvlJc w:val="left"/>
      <w:pPr>
        <w:ind w:left="5466" w:hanging="360"/>
      </w:pPr>
    </w:lvl>
    <w:lvl w:ilvl="7" w:tplc="AA0AF65C" w:tentative="1">
      <w:start w:val="1"/>
      <w:numFmt w:val="lowerLetter"/>
      <w:lvlText w:val="%8."/>
      <w:lvlJc w:val="left"/>
      <w:pPr>
        <w:ind w:left="6186" w:hanging="360"/>
      </w:pPr>
    </w:lvl>
    <w:lvl w:ilvl="8" w:tplc="E9C85BF8" w:tentative="1">
      <w:start w:val="1"/>
      <w:numFmt w:val="lowerRoman"/>
      <w:lvlText w:val="%9."/>
      <w:lvlJc w:val="right"/>
      <w:pPr>
        <w:ind w:left="6906" w:hanging="180"/>
      </w:pPr>
    </w:lvl>
  </w:abstractNum>
  <w:abstractNum w:abstractNumId="32" w15:restartNumberingAfterBreak="0">
    <w:nsid w:val="4E427547"/>
    <w:multiLevelType w:val="hybridMultilevel"/>
    <w:tmpl w:val="D49E2B64"/>
    <w:lvl w:ilvl="0" w:tplc="0409000F">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4FB04D68"/>
    <w:multiLevelType w:val="multilevel"/>
    <w:tmpl w:val="0F4AE888"/>
    <w:lvl w:ilvl="0">
      <w:start w:val="1"/>
      <w:numFmt w:val="upperRoman"/>
      <w:lvlText w:val="%1)"/>
      <w:lvlJc w:val="right"/>
      <w:pPr>
        <w:ind w:left="2880" w:hanging="360"/>
      </w:pPr>
      <w:rPr>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decimal"/>
      <w:lvlText w:val="%4."/>
      <w:lvlJc w:val="left"/>
      <w:pPr>
        <w:ind w:left="5040" w:hanging="360"/>
      </w:pPr>
      <w:rPr>
        <w:rFonts w:ascii="Times New Roman" w:eastAsia="Times New Roman" w:hAnsi="Times New Roman" w:cs="Times New Roman"/>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5" w15:restartNumberingAfterBreak="0">
    <w:nsid w:val="540B6AD6"/>
    <w:multiLevelType w:val="hybridMultilevel"/>
    <w:tmpl w:val="948AF978"/>
    <w:lvl w:ilvl="0" w:tplc="E40097E4">
      <w:start w:val="1"/>
      <w:numFmt w:val="decimal"/>
      <w:lvlText w:val="%1."/>
      <w:lvlJc w:val="left"/>
      <w:pPr>
        <w:ind w:left="786" w:hanging="360"/>
      </w:pPr>
      <w:rPr>
        <w:rFonts w:hint="default"/>
      </w:rPr>
    </w:lvl>
    <w:lvl w:ilvl="1" w:tplc="B29A6F22" w:tentative="1">
      <w:start w:val="1"/>
      <w:numFmt w:val="lowerLetter"/>
      <w:lvlText w:val="%2."/>
      <w:lvlJc w:val="left"/>
      <w:pPr>
        <w:ind w:left="1506" w:hanging="360"/>
      </w:pPr>
    </w:lvl>
    <w:lvl w:ilvl="2" w:tplc="FF6EBA22" w:tentative="1">
      <w:start w:val="1"/>
      <w:numFmt w:val="lowerRoman"/>
      <w:lvlText w:val="%3."/>
      <w:lvlJc w:val="right"/>
      <w:pPr>
        <w:ind w:left="2226" w:hanging="180"/>
      </w:pPr>
    </w:lvl>
    <w:lvl w:ilvl="3" w:tplc="475E4E96" w:tentative="1">
      <w:start w:val="1"/>
      <w:numFmt w:val="decimal"/>
      <w:lvlText w:val="%4."/>
      <w:lvlJc w:val="left"/>
      <w:pPr>
        <w:ind w:left="2946" w:hanging="360"/>
      </w:pPr>
    </w:lvl>
    <w:lvl w:ilvl="4" w:tplc="33385BAE" w:tentative="1">
      <w:start w:val="1"/>
      <w:numFmt w:val="lowerLetter"/>
      <w:lvlText w:val="%5."/>
      <w:lvlJc w:val="left"/>
      <w:pPr>
        <w:ind w:left="3666" w:hanging="360"/>
      </w:pPr>
    </w:lvl>
    <w:lvl w:ilvl="5" w:tplc="9EB2C262" w:tentative="1">
      <w:start w:val="1"/>
      <w:numFmt w:val="lowerRoman"/>
      <w:lvlText w:val="%6."/>
      <w:lvlJc w:val="right"/>
      <w:pPr>
        <w:ind w:left="4386" w:hanging="180"/>
      </w:pPr>
    </w:lvl>
    <w:lvl w:ilvl="6" w:tplc="DD243854" w:tentative="1">
      <w:start w:val="1"/>
      <w:numFmt w:val="decimal"/>
      <w:lvlText w:val="%7."/>
      <w:lvlJc w:val="left"/>
      <w:pPr>
        <w:ind w:left="5106" w:hanging="360"/>
      </w:pPr>
    </w:lvl>
    <w:lvl w:ilvl="7" w:tplc="7C006E54" w:tentative="1">
      <w:start w:val="1"/>
      <w:numFmt w:val="lowerLetter"/>
      <w:lvlText w:val="%8."/>
      <w:lvlJc w:val="left"/>
      <w:pPr>
        <w:ind w:left="5826" w:hanging="360"/>
      </w:pPr>
    </w:lvl>
    <w:lvl w:ilvl="8" w:tplc="17CC337E" w:tentative="1">
      <w:start w:val="1"/>
      <w:numFmt w:val="lowerRoman"/>
      <w:lvlText w:val="%9."/>
      <w:lvlJc w:val="right"/>
      <w:pPr>
        <w:ind w:left="6546" w:hanging="180"/>
      </w:pPr>
    </w:lvl>
  </w:abstractNum>
  <w:abstractNum w:abstractNumId="36" w15:restartNumberingAfterBreak="0">
    <w:nsid w:val="540C13FF"/>
    <w:multiLevelType w:val="hybridMultilevel"/>
    <w:tmpl w:val="E2C41D80"/>
    <w:lvl w:ilvl="0" w:tplc="CD84FC54">
      <w:start w:val="1"/>
      <w:numFmt w:val="lowerLetter"/>
      <w:lvlText w:val="%1."/>
      <w:lvlJc w:val="left"/>
      <w:pPr>
        <w:ind w:left="1506" w:hanging="360"/>
      </w:pPr>
      <w:rPr>
        <w:rFonts w:hint="default"/>
      </w:rPr>
    </w:lvl>
    <w:lvl w:ilvl="1" w:tplc="EBD84D76" w:tentative="1">
      <w:start w:val="1"/>
      <w:numFmt w:val="lowerLetter"/>
      <w:lvlText w:val="%2."/>
      <w:lvlJc w:val="left"/>
      <w:pPr>
        <w:ind w:left="2226" w:hanging="360"/>
      </w:pPr>
    </w:lvl>
    <w:lvl w:ilvl="2" w:tplc="278EEE28" w:tentative="1">
      <w:start w:val="1"/>
      <w:numFmt w:val="lowerRoman"/>
      <w:lvlText w:val="%3."/>
      <w:lvlJc w:val="right"/>
      <w:pPr>
        <w:ind w:left="2946" w:hanging="180"/>
      </w:pPr>
    </w:lvl>
    <w:lvl w:ilvl="3" w:tplc="293AF968" w:tentative="1">
      <w:start w:val="1"/>
      <w:numFmt w:val="decimal"/>
      <w:lvlText w:val="%4."/>
      <w:lvlJc w:val="left"/>
      <w:pPr>
        <w:ind w:left="3666" w:hanging="360"/>
      </w:pPr>
    </w:lvl>
    <w:lvl w:ilvl="4" w:tplc="92C4FFCC" w:tentative="1">
      <w:start w:val="1"/>
      <w:numFmt w:val="lowerLetter"/>
      <w:lvlText w:val="%5."/>
      <w:lvlJc w:val="left"/>
      <w:pPr>
        <w:ind w:left="4386" w:hanging="360"/>
      </w:pPr>
    </w:lvl>
    <w:lvl w:ilvl="5" w:tplc="FDC04870" w:tentative="1">
      <w:start w:val="1"/>
      <w:numFmt w:val="lowerRoman"/>
      <w:lvlText w:val="%6."/>
      <w:lvlJc w:val="right"/>
      <w:pPr>
        <w:ind w:left="5106" w:hanging="180"/>
      </w:pPr>
    </w:lvl>
    <w:lvl w:ilvl="6" w:tplc="86F25CC6" w:tentative="1">
      <w:start w:val="1"/>
      <w:numFmt w:val="decimal"/>
      <w:lvlText w:val="%7."/>
      <w:lvlJc w:val="left"/>
      <w:pPr>
        <w:ind w:left="5826" w:hanging="360"/>
      </w:pPr>
    </w:lvl>
    <w:lvl w:ilvl="7" w:tplc="913400E0" w:tentative="1">
      <w:start w:val="1"/>
      <w:numFmt w:val="lowerLetter"/>
      <w:lvlText w:val="%8."/>
      <w:lvlJc w:val="left"/>
      <w:pPr>
        <w:ind w:left="6546" w:hanging="360"/>
      </w:pPr>
    </w:lvl>
    <w:lvl w:ilvl="8" w:tplc="E5708E1C" w:tentative="1">
      <w:start w:val="1"/>
      <w:numFmt w:val="lowerRoman"/>
      <w:lvlText w:val="%9."/>
      <w:lvlJc w:val="right"/>
      <w:pPr>
        <w:ind w:left="7266" w:hanging="180"/>
      </w:pPr>
    </w:lvl>
  </w:abstractNum>
  <w:abstractNum w:abstractNumId="37" w15:restartNumberingAfterBreak="0">
    <w:nsid w:val="59780FB0"/>
    <w:multiLevelType w:val="hybridMultilevel"/>
    <w:tmpl w:val="133C5544"/>
    <w:lvl w:ilvl="0" w:tplc="47D42182">
      <w:start w:val="1"/>
      <w:numFmt w:val="decimal"/>
      <w:lvlText w:val="%1."/>
      <w:lvlJc w:val="left"/>
      <w:pPr>
        <w:ind w:left="720" w:hanging="360"/>
      </w:pPr>
      <w:rPr>
        <w:rFonts w:hint="default"/>
      </w:rPr>
    </w:lvl>
    <w:lvl w:ilvl="1" w:tplc="C1383D48" w:tentative="1">
      <w:start w:val="1"/>
      <w:numFmt w:val="lowerLetter"/>
      <w:lvlText w:val="%2."/>
      <w:lvlJc w:val="left"/>
      <w:pPr>
        <w:ind w:left="1440" w:hanging="360"/>
      </w:pPr>
    </w:lvl>
    <w:lvl w:ilvl="2" w:tplc="778A5E9A" w:tentative="1">
      <w:start w:val="1"/>
      <w:numFmt w:val="lowerRoman"/>
      <w:lvlText w:val="%3."/>
      <w:lvlJc w:val="right"/>
      <w:pPr>
        <w:ind w:left="2160" w:hanging="180"/>
      </w:pPr>
    </w:lvl>
    <w:lvl w:ilvl="3" w:tplc="D6C8601E" w:tentative="1">
      <w:start w:val="1"/>
      <w:numFmt w:val="decimal"/>
      <w:lvlText w:val="%4."/>
      <w:lvlJc w:val="left"/>
      <w:pPr>
        <w:ind w:left="2880" w:hanging="360"/>
      </w:pPr>
    </w:lvl>
    <w:lvl w:ilvl="4" w:tplc="BF8602EA" w:tentative="1">
      <w:start w:val="1"/>
      <w:numFmt w:val="lowerLetter"/>
      <w:lvlText w:val="%5."/>
      <w:lvlJc w:val="left"/>
      <w:pPr>
        <w:ind w:left="3600" w:hanging="360"/>
      </w:pPr>
    </w:lvl>
    <w:lvl w:ilvl="5" w:tplc="092EA3BA" w:tentative="1">
      <w:start w:val="1"/>
      <w:numFmt w:val="lowerRoman"/>
      <w:lvlText w:val="%6."/>
      <w:lvlJc w:val="right"/>
      <w:pPr>
        <w:ind w:left="4320" w:hanging="180"/>
      </w:pPr>
    </w:lvl>
    <w:lvl w:ilvl="6" w:tplc="90523DE0" w:tentative="1">
      <w:start w:val="1"/>
      <w:numFmt w:val="decimal"/>
      <w:lvlText w:val="%7."/>
      <w:lvlJc w:val="left"/>
      <w:pPr>
        <w:ind w:left="5040" w:hanging="360"/>
      </w:pPr>
    </w:lvl>
    <w:lvl w:ilvl="7" w:tplc="1B46B93A" w:tentative="1">
      <w:start w:val="1"/>
      <w:numFmt w:val="lowerLetter"/>
      <w:lvlText w:val="%8."/>
      <w:lvlJc w:val="left"/>
      <w:pPr>
        <w:ind w:left="5760" w:hanging="360"/>
      </w:pPr>
    </w:lvl>
    <w:lvl w:ilvl="8" w:tplc="72DCFF2A" w:tentative="1">
      <w:start w:val="1"/>
      <w:numFmt w:val="lowerRoman"/>
      <w:lvlText w:val="%9."/>
      <w:lvlJc w:val="right"/>
      <w:pPr>
        <w:ind w:left="6480" w:hanging="180"/>
      </w:pPr>
    </w:lvl>
  </w:abstractNum>
  <w:abstractNum w:abstractNumId="38" w15:restartNumberingAfterBreak="0">
    <w:nsid w:val="5FD77BD0"/>
    <w:multiLevelType w:val="hybridMultilevel"/>
    <w:tmpl w:val="0784A0E4"/>
    <w:lvl w:ilvl="0" w:tplc="C754825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6C402C58"/>
    <w:multiLevelType w:val="hybridMultilevel"/>
    <w:tmpl w:val="F1F87D58"/>
    <w:lvl w:ilvl="0" w:tplc="B05C3844">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1" w15:restartNumberingAfterBreak="0">
    <w:nsid w:val="74E370CD"/>
    <w:multiLevelType w:val="hybridMultilevel"/>
    <w:tmpl w:val="7DAC9DBE"/>
    <w:lvl w:ilvl="0" w:tplc="10F00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7A61A2"/>
    <w:multiLevelType w:val="hybridMultilevel"/>
    <w:tmpl w:val="4FBA27C0"/>
    <w:lvl w:ilvl="0" w:tplc="DEB6AC94">
      <w:start w:val="1"/>
      <w:numFmt w:val="decimal"/>
      <w:lvlText w:val="%1."/>
      <w:lvlJc w:val="left"/>
      <w:pPr>
        <w:ind w:left="1854" w:hanging="360"/>
      </w:pPr>
      <w:rPr>
        <w:rFonts w:ascii="Times New Roman" w:eastAsia="SimSun" w:hAnsi="Times New Roman" w:cs="Times New Roman"/>
      </w:rPr>
    </w:lvl>
    <w:lvl w:ilvl="1" w:tplc="42F4FAD0" w:tentative="1">
      <w:start w:val="1"/>
      <w:numFmt w:val="lowerLetter"/>
      <w:lvlText w:val="%2."/>
      <w:lvlJc w:val="left"/>
      <w:pPr>
        <w:ind w:left="2574" w:hanging="360"/>
      </w:pPr>
    </w:lvl>
    <w:lvl w:ilvl="2" w:tplc="BA84E6D2" w:tentative="1">
      <w:start w:val="1"/>
      <w:numFmt w:val="lowerRoman"/>
      <w:lvlText w:val="%3."/>
      <w:lvlJc w:val="right"/>
      <w:pPr>
        <w:ind w:left="3294" w:hanging="180"/>
      </w:pPr>
    </w:lvl>
    <w:lvl w:ilvl="3" w:tplc="9CC0F7B8" w:tentative="1">
      <w:start w:val="1"/>
      <w:numFmt w:val="decimal"/>
      <w:lvlText w:val="%4."/>
      <w:lvlJc w:val="left"/>
      <w:pPr>
        <w:ind w:left="4014" w:hanging="360"/>
      </w:pPr>
    </w:lvl>
    <w:lvl w:ilvl="4" w:tplc="F828B7EA" w:tentative="1">
      <w:start w:val="1"/>
      <w:numFmt w:val="lowerLetter"/>
      <w:lvlText w:val="%5."/>
      <w:lvlJc w:val="left"/>
      <w:pPr>
        <w:ind w:left="4734" w:hanging="360"/>
      </w:pPr>
    </w:lvl>
    <w:lvl w:ilvl="5" w:tplc="06B49360" w:tentative="1">
      <w:start w:val="1"/>
      <w:numFmt w:val="lowerRoman"/>
      <w:lvlText w:val="%6."/>
      <w:lvlJc w:val="right"/>
      <w:pPr>
        <w:ind w:left="5454" w:hanging="180"/>
      </w:pPr>
    </w:lvl>
    <w:lvl w:ilvl="6" w:tplc="32C044FE" w:tentative="1">
      <w:start w:val="1"/>
      <w:numFmt w:val="decimal"/>
      <w:lvlText w:val="%7."/>
      <w:lvlJc w:val="left"/>
      <w:pPr>
        <w:ind w:left="6174" w:hanging="360"/>
      </w:pPr>
    </w:lvl>
    <w:lvl w:ilvl="7" w:tplc="40DA748A" w:tentative="1">
      <w:start w:val="1"/>
      <w:numFmt w:val="lowerLetter"/>
      <w:lvlText w:val="%8."/>
      <w:lvlJc w:val="left"/>
      <w:pPr>
        <w:ind w:left="6894" w:hanging="360"/>
      </w:pPr>
    </w:lvl>
    <w:lvl w:ilvl="8" w:tplc="31643F40" w:tentative="1">
      <w:start w:val="1"/>
      <w:numFmt w:val="lowerRoman"/>
      <w:lvlText w:val="%9."/>
      <w:lvlJc w:val="right"/>
      <w:pPr>
        <w:ind w:left="7614" w:hanging="180"/>
      </w:pPr>
    </w:lvl>
  </w:abstractNum>
  <w:num w:numId="1">
    <w:abstractNumId w:val="25"/>
  </w:num>
  <w:num w:numId="2">
    <w:abstractNumId w:val="39"/>
  </w:num>
  <w:num w:numId="3">
    <w:abstractNumId w:val="18"/>
  </w:num>
  <w:num w:numId="4">
    <w:abstractNumId w:val="28"/>
  </w:num>
  <w:num w:numId="5">
    <w:abstractNumId w:val="28"/>
  </w:num>
  <w:num w:numId="6">
    <w:abstractNumId w:val="28"/>
  </w:num>
  <w:num w:numId="7">
    <w:abstractNumId w:val="28"/>
  </w:num>
  <w:num w:numId="8">
    <w:abstractNumId w:val="34"/>
  </w:num>
  <w:num w:numId="9">
    <w:abstractNumId w:val="40"/>
  </w:num>
  <w:num w:numId="10">
    <w:abstractNumId w:val="27"/>
  </w:num>
  <w:num w:numId="11">
    <w:abstractNumId w:val="15"/>
  </w:num>
  <w:num w:numId="12">
    <w:abstractNumId w:val="14"/>
  </w:num>
  <w:num w:numId="13">
    <w:abstractNumId w:val="29"/>
  </w:num>
  <w:num w:numId="14">
    <w:abstractNumId w:val="10"/>
  </w:num>
  <w:num w:numId="15">
    <w:abstractNumId w:val="12"/>
  </w:num>
  <w:num w:numId="16">
    <w:abstractNumId w:val="9"/>
  </w:num>
  <w:num w:numId="17">
    <w:abstractNumId w:val="4"/>
  </w:num>
  <w:num w:numId="18">
    <w:abstractNumId w:val="33"/>
  </w:num>
  <w:num w:numId="19">
    <w:abstractNumId w:val="42"/>
  </w:num>
  <w:num w:numId="20">
    <w:abstractNumId w:val="3"/>
  </w:num>
  <w:num w:numId="21">
    <w:abstractNumId w:val="5"/>
  </w:num>
  <w:num w:numId="22">
    <w:abstractNumId w:val="0"/>
  </w:num>
  <w:num w:numId="23">
    <w:abstractNumId w:val="8"/>
  </w:num>
  <w:num w:numId="24">
    <w:abstractNumId w:val="32"/>
  </w:num>
  <w:num w:numId="25">
    <w:abstractNumId w:val="22"/>
  </w:num>
  <w:num w:numId="26">
    <w:abstractNumId w:val="30"/>
  </w:num>
  <w:num w:numId="27">
    <w:abstractNumId w:val="2"/>
  </w:num>
  <w:num w:numId="28">
    <w:abstractNumId w:val="19"/>
  </w:num>
  <w:num w:numId="29">
    <w:abstractNumId w:val="31"/>
  </w:num>
  <w:num w:numId="30">
    <w:abstractNumId w:val="11"/>
  </w:num>
  <w:num w:numId="31">
    <w:abstractNumId w:val="35"/>
  </w:num>
  <w:num w:numId="32">
    <w:abstractNumId w:val="23"/>
  </w:num>
  <w:num w:numId="33">
    <w:abstractNumId w:val="1"/>
  </w:num>
  <w:num w:numId="34">
    <w:abstractNumId w:val="36"/>
  </w:num>
  <w:num w:numId="35">
    <w:abstractNumId w:val="38"/>
  </w:num>
  <w:num w:numId="36">
    <w:abstractNumId w:val="37"/>
  </w:num>
  <w:num w:numId="37">
    <w:abstractNumId w:val="41"/>
  </w:num>
  <w:num w:numId="38">
    <w:abstractNumId w:val="6"/>
  </w:num>
  <w:num w:numId="39">
    <w:abstractNumId w:val="13"/>
  </w:num>
  <w:num w:numId="40">
    <w:abstractNumId w:val="20"/>
  </w:num>
  <w:num w:numId="41">
    <w:abstractNumId w:val="16"/>
  </w:num>
  <w:num w:numId="42">
    <w:abstractNumId w:val="17"/>
  </w:num>
  <w:num w:numId="43">
    <w:abstractNumId w:val="7"/>
  </w:num>
  <w:num w:numId="44">
    <w:abstractNumId w:val="21"/>
  </w:num>
  <w:num w:numId="45">
    <w:abstractNumId w:val="2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02C5D"/>
    <w:rsid w:val="00011EEB"/>
    <w:rsid w:val="000225E1"/>
    <w:rsid w:val="00030F86"/>
    <w:rsid w:val="0003112C"/>
    <w:rsid w:val="00037A6D"/>
    <w:rsid w:val="00046942"/>
    <w:rsid w:val="00050320"/>
    <w:rsid w:val="00052DF8"/>
    <w:rsid w:val="00053983"/>
    <w:rsid w:val="000569C9"/>
    <w:rsid w:val="000629B5"/>
    <w:rsid w:val="0007226F"/>
    <w:rsid w:val="0008103F"/>
    <w:rsid w:val="00082398"/>
    <w:rsid w:val="0008677C"/>
    <w:rsid w:val="000A00C0"/>
    <w:rsid w:val="000A2263"/>
    <w:rsid w:val="000B6492"/>
    <w:rsid w:val="001009DF"/>
    <w:rsid w:val="00102A59"/>
    <w:rsid w:val="001058B4"/>
    <w:rsid w:val="0010637B"/>
    <w:rsid w:val="00107776"/>
    <w:rsid w:val="00115124"/>
    <w:rsid w:val="00123BFE"/>
    <w:rsid w:val="00125DB5"/>
    <w:rsid w:val="00127C3A"/>
    <w:rsid w:val="00132A87"/>
    <w:rsid w:val="00132ED2"/>
    <w:rsid w:val="00143DA7"/>
    <w:rsid w:val="00147999"/>
    <w:rsid w:val="00156202"/>
    <w:rsid w:val="00170779"/>
    <w:rsid w:val="00172367"/>
    <w:rsid w:val="00185C72"/>
    <w:rsid w:val="001868D9"/>
    <w:rsid w:val="001911A2"/>
    <w:rsid w:val="00191BD6"/>
    <w:rsid w:val="001A0365"/>
    <w:rsid w:val="001B34B9"/>
    <w:rsid w:val="001B4B4C"/>
    <w:rsid w:val="001D2F56"/>
    <w:rsid w:val="001E39A0"/>
    <w:rsid w:val="001E5590"/>
    <w:rsid w:val="001F31BE"/>
    <w:rsid w:val="00210A2E"/>
    <w:rsid w:val="002214AF"/>
    <w:rsid w:val="0022247B"/>
    <w:rsid w:val="00224C67"/>
    <w:rsid w:val="0023558B"/>
    <w:rsid w:val="00241DED"/>
    <w:rsid w:val="002468B6"/>
    <w:rsid w:val="0026006F"/>
    <w:rsid w:val="00295176"/>
    <w:rsid w:val="002A242A"/>
    <w:rsid w:val="002A2DFD"/>
    <w:rsid w:val="002A5FC7"/>
    <w:rsid w:val="002A6D32"/>
    <w:rsid w:val="002B32F0"/>
    <w:rsid w:val="002B33E7"/>
    <w:rsid w:val="002B3560"/>
    <w:rsid w:val="002C36A4"/>
    <w:rsid w:val="002D29A1"/>
    <w:rsid w:val="002D3747"/>
    <w:rsid w:val="002E405D"/>
    <w:rsid w:val="002F6FC8"/>
    <w:rsid w:val="00302476"/>
    <w:rsid w:val="0031490D"/>
    <w:rsid w:val="003210F3"/>
    <w:rsid w:val="00335DBE"/>
    <w:rsid w:val="00337271"/>
    <w:rsid w:val="003376E8"/>
    <w:rsid w:val="003438BC"/>
    <w:rsid w:val="00350483"/>
    <w:rsid w:val="00356729"/>
    <w:rsid w:val="0037406C"/>
    <w:rsid w:val="00374C18"/>
    <w:rsid w:val="00376BA1"/>
    <w:rsid w:val="00386AA9"/>
    <w:rsid w:val="003904DD"/>
    <w:rsid w:val="003A2B7C"/>
    <w:rsid w:val="003B5A15"/>
    <w:rsid w:val="003C3182"/>
    <w:rsid w:val="003D1090"/>
    <w:rsid w:val="003D231E"/>
    <w:rsid w:val="003D7F74"/>
    <w:rsid w:val="003F7DC9"/>
    <w:rsid w:val="0042122D"/>
    <w:rsid w:val="004231F5"/>
    <w:rsid w:val="004243DE"/>
    <w:rsid w:val="004346FE"/>
    <w:rsid w:val="00453C7E"/>
    <w:rsid w:val="00454444"/>
    <w:rsid w:val="00454524"/>
    <w:rsid w:val="00462BC6"/>
    <w:rsid w:val="00467138"/>
    <w:rsid w:val="00473E58"/>
    <w:rsid w:val="004869DB"/>
    <w:rsid w:val="004C25EC"/>
    <w:rsid w:val="004C640D"/>
    <w:rsid w:val="004C6C49"/>
    <w:rsid w:val="004D122B"/>
    <w:rsid w:val="004D2E2F"/>
    <w:rsid w:val="004D6FDF"/>
    <w:rsid w:val="004F652C"/>
    <w:rsid w:val="004F67D6"/>
    <w:rsid w:val="00500D73"/>
    <w:rsid w:val="00502B36"/>
    <w:rsid w:val="005116B0"/>
    <w:rsid w:val="005247D7"/>
    <w:rsid w:val="00525179"/>
    <w:rsid w:val="005309C0"/>
    <w:rsid w:val="005409C5"/>
    <w:rsid w:val="00554733"/>
    <w:rsid w:val="00554BB6"/>
    <w:rsid w:val="00562033"/>
    <w:rsid w:val="00563720"/>
    <w:rsid w:val="00566129"/>
    <w:rsid w:val="005675BE"/>
    <w:rsid w:val="0057337F"/>
    <w:rsid w:val="00577CFA"/>
    <w:rsid w:val="005817F1"/>
    <w:rsid w:val="00583384"/>
    <w:rsid w:val="00583976"/>
    <w:rsid w:val="00585CBF"/>
    <w:rsid w:val="005A36A3"/>
    <w:rsid w:val="005A7678"/>
    <w:rsid w:val="005B410A"/>
    <w:rsid w:val="005B531C"/>
    <w:rsid w:val="005D34EA"/>
    <w:rsid w:val="005D4AA1"/>
    <w:rsid w:val="005F7823"/>
    <w:rsid w:val="0060179E"/>
    <w:rsid w:val="00610388"/>
    <w:rsid w:val="006112A5"/>
    <w:rsid w:val="006129BD"/>
    <w:rsid w:val="00612E2A"/>
    <w:rsid w:val="0061337D"/>
    <w:rsid w:val="00613F20"/>
    <w:rsid w:val="00620B80"/>
    <w:rsid w:val="00620BDF"/>
    <w:rsid w:val="0062425D"/>
    <w:rsid w:val="006360E4"/>
    <w:rsid w:val="00637D2B"/>
    <w:rsid w:val="006522E6"/>
    <w:rsid w:val="006568BD"/>
    <w:rsid w:val="006575F5"/>
    <w:rsid w:val="006767AF"/>
    <w:rsid w:val="00692F94"/>
    <w:rsid w:val="00693B10"/>
    <w:rsid w:val="006A75DE"/>
    <w:rsid w:val="006B4668"/>
    <w:rsid w:val="006B5B68"/>
    <w:rsid w:val="006E19C4"/>
    <w:rsid w:val="006F0567"/>
    <w:rsid w:val="006F1085"/>
    <w:rsid w:val="00700B89"/>
    <w:rsid w:val="007052A6"/>
    <w:rsid w:val="00710E05"/>
    <w:rsid w:val="00713589"/>
    <w:rsid w:val="0071395D"/>
    <w:rsid w:val="00726DAB"/>
    <w:rsid w:val="00726E49"/>
    <w:rsid w:val="00727518"/>
    <w:rsid w:val="00727CBC"/>
    <w:rsid w:val="00732122"/>
    <w:rsid w:val="00735726"/>
    <w:rsid w:val="00744C0A"/>
    <w:rsid w:val="00746E4F"/>
    <w:rsid w:val="007471BC"/>
    <w:rsid w:val="00757F3E"/>
    <w:rsid w:val="00763C10"/>
    <w:rsid w:val="00773E99"/>
    <w:rsid w:val="00775821"/>
    <w:rsid w:val="007839C7"/>
    <w:rsid w:val="0078476D"/>
    <w:rsid w:val="00797652"/>
    <w:rsid w:val="007A4A02"/>
    <w:rsid w:val="007B1A54"/>
    <w:rsid w:val="007B34ED"/>
    <w:rsid w:val="007C3CED"/>
    <w:rsid w:val="007C45A3"/>
    <w:rsid w:val="007C5D23"/>
    <w:rsid w:val="007C5F74"/>
    <w:rsid w:val="007D0BEC"/>
    <w:rsid w:val="007D4974"/>
    <w:rsid w:val="007D62F7"/>
    <w:rsid w:val="007E52FF"/>
    <w:rsid w:val="007E5DE7"/>
    <w:rsid w:val="007F223F"/>
    <w:rsid w:val="007F4F20"/>
    <w:rsid w:val="007F7288"/>
    <w:rsid w:val="008157C4"/>
    <w:rsid w:val="00821DE1"/>
    <w:rsid w:val="00826944"/>
    <w:rsid w:val="00826AA6"/>
    <w:rsid w:val="00834A38"/>
    <w:rsid w:val="00834B71"/>
    <w:rsid w:val="008400BF"/>
    <w:rsid w:val="008434D1"/>
    <w:rsid w:val="008438BB"/>
    <w:rsid w:val="00862321"/>
    <w:rsid w:val="00863939"/>
    <w:rsid w:val="00872554"/>
    <w:rsid w:val="0087698B"/>
    <w:rsid w:val="008803DA"/>
    <w:rsid w:val="0089037D"/>
    <w:rsid w:val="00891BA0"/>
    <w:rsid w:val="00896C3D"/>
    <w:rsid w:val="008A4955"/>
    <w:rsid w:val="008A663B"/>
    <w:rsid w:val="008D45D8"/>
    <w:rsid w:val="008E2C91"/>
    <w:rsid w:val="008F1ED4"/>
    <w:rsid w:val="008F2A89"/>
    <w:rsid w:val="009013F7"/>
    <w:rsid w:val="009031EA"/>
    <w:rsid w:val="00915569"/>
    <w:rsid w:val="00924916"/>
    <w:rsid w:val="00926B4C"/>
    <w:rsid w:val="00926F89"/>
    <w:rsid w:val="00932042"/>
    <w:rsid w:val="00934F07"/>
    <w:rsid w:val="0093792D"/>
    <w:rsid w:val="0095271D"/>
    <w:rsid w:val="009533E2"/>
    <w:rsid w:val="00953D3F"/>
    <w:rsid w:val="0095608A"/>
    <w:rsid w:val="0096283C"/>
    <w:rsid w:val="00963567"/>
    <w:rsid w:val="0097105C"/>
    <w:rsid w:val="00984A04"/>
    <w:rsid w:val="00985574"/>
    <w:rsid w:val="009945FC"/>
    <w:rsid w:val="00996A94"/>
    <w:rsid w:val="009A1D65"/>
    <w:rsid w:val="009A4892"/>
    <w:rsid w:val="009C2A99"/>
    <w:rsid w:val="009D10DB"/>
    <w:rsid w:val="009E23D9"/>
    <w:rsid w:val="009E66A4"/>
    <w:rsid w:val="009F113A"/>
    <w:rsid w:val="009F34B2"/>
    <w:rsid w:val="009F5FD6"/>
    <w:rsid w:val="00A365B8"/>
    <w:rsid w:val="00A378EE"/>
    <w:rsid w:val="00A40C67"/>
    <w:rsid w:val="00A41027"/>
    <w:rsid w:val="00A41905"/>
    <w:rsid w:val="00A55FB3"/>
    <w:rsid w:val="00A57842"/>
    <w:rsid w:val="00A60B31"/>
    <w:rsid w:val="00A66466"/>
    <w:rsid w:val="00A70F48"/>
    <w:rsid w:val="00A7320D"/>
    <w:rsid w:val="00A75512"/>
    <w:rsid w:val="00A80D96"/>
    <w:rsid w:val="00A83D4B"/>
    <w:rsid w:val="00A87EAD"/>
    <w:rsid w:val="00A918F4"/>
    <w:rsid w:val="00A932DF"/>
    <w:rsid w:val="00A96D54"/>
    <w:rsid w:val="00AA0EF0"/>
    <w:rsid w:val="00AA14D0"/>
    <w:rsid w:val="00AA1C1E"/>
    <w:rsid w:val="00AA6B08"/>
    <w:rsid w:val="00AB1636"/>
    <w:rsid w:val="00AB3155"/>
    <w:rsid w:val="00AB3C22"/>
    <w:rsid w:val="00AC4E23"/>
    <w:rsid w:val="00AD13DD"/>
    <w:rsid w:val="00AD2550"/>
    <w:rsid w:val="00AE08FF"/>
    <w:rsid w:val="00AF6290"/>
    <w:rsid w:val="00B05719"/>
    <w:rsid w:val="00B063D7"/>
    <w:rsid w:val="00B13591"/>
    <w:rsid w:val="00B15D8D"/>
    <w:rsid w:val="00B24F49"/>
    <w:rsid w:val="00B3341D"/>
    <w:rsid w:val="00B457A5"/>
    <w:rsid w:val="00B57A1C"/>
    <w:rsid w:val="00B701F4"/>
    <w:rsid w:val="00B749ED"/>
    <w:rsid w:val="00B7680E"/>
    <w:rsid w:val="00B83F29"/>
    <w:rsid w:val="00B84020"/>
    <w:rsid w:val="00B857D8"/>
    <w:rsid w:val="00B85FC4"/>
    <w:rsid w:val="00BA2601"/>
    <w:rsid w:val="00BB2147"/>
    <w:rsid w:val="00BB435B"/>
    <w:rsid w:val="00BC106D"/>
    <w:rsid w:val="00BC526A"/>
    <w:rsid w:val="00BC7FD7"/>
    <w:rsid w:val="00BD6367"/>
    <w:rsid w:val="00BD7C66"/>
    <w:rsid w:val="00BE75B7"/>
    <w:rsid w:val="00BF6651"/>
    <w:rsid w:val="00BF78A3"/>
    <w:rsid w:val="00BF79DF"/>
    <w:rsid w:val="00C11948"/>
    <w:rsid w:val="00C11A0E"/>
    <w:rsid w:val="00C138C1"/>
    <w:rsid w:val="00C15659"/>
    <w:rsid w:val="00C20E43"/>
    <w:rsid w:val="00C22AAF"/>
    <w:rsid w:val="00C30D5D"/>
    <w:rsid w:val="00C37220"/>
    <w:rsid w:val="00C5423E"/>
    <w:rsid w:val="00C613CF"/>
    <w:rsid w:val="00C620A3"/>
    <w:rsid w:val="00C63354"/>
    <w:rsid w:val="00C6538F"/>
    <w:rsid w:val="00C714BD"/>
    <w:rsid w:val="00C76368"/>
    <w:rsid w:val="00C93F1C"/>
    <w:rsid w:val="00C94E19"/>
    <w:rsid w:val="00CA203E"/>
    <w:rsid w:val="00CA713D"/>
    <w:rsid w:val="00CB4635"/>
    <w:rsid w:val="00CB7D4D"/>
    <w:rsid w:val="00CC08FA"/>
    <w:rsid w:val="00CC1FF6"/>
    <w:rsid w:val="00CD1DE1"/>
    <w:rsid w:val="00CD7C0D"/>
    <w:rsid w:val="00CE0F83"/>
    <w:rsid w:val="00CE2298"/>
    <w:rsid w:val="00CE4811"/>
    <w:rsid w:val="00D03447"/>
    <w:rsid w:val="00D049A1"/>
    <w:rsid w:val="00D1161D"/>
    <w:rsid w:val="00D13A5A"/>
    <w:rsid w:val="00D216D7"/>
    <w:rsid w:val="00D224F4"/>
    <w:rsid w:val="00D3234C"/>
    <w:rsid w:val="00D33386"/>
    <w:rsid w:val="00D3494A"/>
    <w:rsid w:val="00D43C02"/>
    <w:rsid w:val="00D51E98"/>
    <w:rsid w:val="00D530E5"/>
    <w:rsid w:val="00D55A94"/>
    <w:rsid w:val="00D659B4"/>
    <w:rsid w:val="00D7405C"/>
    <w:rsid w:val="00D84219"/>
    <w:rsid w:val="00D90BBC"/>
    <w:rsid w:val="00DA33D3"/>
    <w:rsid w:val="00DA5663"/>
    <w:rsid w:val="00DC2C7F"/>
    <w:rsid w:val="00DC503F"/>
    <w:rsid w:val="00DD4B02"/>
    <w:rsid w:val="00DD519A"/>
    <w:rsid w:val="00DE3A57"/>
    <w:rsid w:val="00DE6294"/>
    <w:rsid w:val="00E02346"/>
    <w:rsid w:val="00E02BE6"/>
    <w:rsid w:val="00E045AE"/>
    <w:rsid w:val="00E0509A"/>
    <w:rsid w:val="00E06F1A"/>
    <w:rsid w:val="00E1327F"/>
    <w:rsid w:val="00E1575A"/>
    <w:rsid w:val="00E16D9F"/>
    <w:rsid w:val="00E267D1"/>
    <w:rsid w:val="00E45551"/>
    <w:rsid w:val="00E668FB"/>
    <w:rsid w:val="00E71B09"/>
    <w:rsid w:val="00E7654D"/>
    <w:rsid w:val="00E767FF"/>
    <w:rsid w:val="00E81C4F"/>
    <w:rsid w:val="00E82FE1"/>
    <w:rsid w:val="00E87C35"/>
    <w:rsid w:val="00EA1DC5"/>
    <w:rsid w:val="00EA50A2"/>
    <w:rsid w:val="00EB0BA7"/>
    <w:rsid w:val="00EB193B"/>
    <w:rsid w:val="00EC0B94"/>
    <w:rsid w:val="00ED13D6"/>
    <w:rsid w:val="00ED16CC"/>
    <w:rsid w:val="00EE008C"/>
    <w:rsid w:val="00F040BA"/>
    <w:rsid w:val="00F0477A"/>
    <w:rsid w:val="00F11AE3"/>
    <w:rsid w:val="00F12242"/>
    <w:rsid w:val="00F1566D"/>
    <w:rsid w:val="00F264E7"/>
    <w:rsid w:val="00F338F7"/>
    <w:rsid w:val="00F3492B"/>
    <w:rsid w:val="00F40BAB"/>
    <w:rsid w:val="00F4200F"/>
    <w:rsid w:val="00F4482D"/>
    <w:rsid w:val="00F81BE1"/>
    <w:rsid w:val="00F935B2"/>
    <w:rsid w:val="00FA6396"/>
    <w:rsid w:val="00FB1A09"/>
    <w:rsid w:val="00FB3E7D"/>
    <w:rsid w:val="00FB4FD2"/>
    <w:rsid w:val="00FC4A39"/>
    <w:rsid w:val="00FC570E"/>
    <w:rsid w:val="00FC5AF3"/>
    <w:rsid w:val="00FC7CBE"/>
    <w:rsid w:val="00FE0B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35002"/>
  <w15:docId w15:val="{A7E7B0F0-9568-46B4-BAA0-276CB101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rPr>
      <w:lang w:val="en-US" w:eastAsia="en-US"/>
    </w:rPr>
  </w:style>
  <w:style w:type="paragraph" w:styleId="Heading1">
    <w:name w:val="heading 1"/>
    <w:basedOn w:val="Normal"/>
    <w:next w:val="Normal"/>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character" w:styleId="CommentReference">
    <w:name w:val="annotation reference"/>
    <w:rsid w:val="00732122"/>
    <w:rPr>
      <w:sz w:val="16"/>
      <w:szCs w:val="16"/>
    </w:rPr>
  </w:style>
  <w:style w:type="paragraph" w:styleId="CommentText">
    <w:name w:val="annotation text"/>
    <w:basedOn w:val="Normal"/>
    <w:link w:val="CommentTextChar"/>
    <w:rsid w:val="00732122"/>
  </w:style>
  <w:style w:type="character" w:customStyle="1" w:styleId="CommentTextChar">
    <w:name w:val="Comment Text Char"/>
    <w:link w:val="CommentText"/>
    <w:rsid w:val="00732122"/>
    <w:rPr>
      <w:lang w:val="en-US"/>
    </w:rPr>
  </w:style>
  <w:style w:type="paragraph" w:styleId="CommentSubject">
    <w:name w:val="annotation subject"/>
    <w:basedOn w:val="CommentText"/>
    <w:next w:val="CommentText"/>
    <w:link w:val="CommentSubjectChar"/>
    <w:rsid w:val="00732122"/>
    <w:rPr>
      <w:b/>
      <w:bCs/>
    </w:rPr>
  </w:style>
  <w:style w:type="character" w:customStyle="1" w:styleId="CommentSubjectChar">
    <w:name w:val="Comment Subject Char"/>
    <w:link w:val="CommentSubject"/>
    <w:rsid w:val="00732122"/>
    <w:rPr>
      <w:b/>
      <w:bCs/>
      <w:lang w:val="en-US"/>
    </w:rPr>
  </w:style>
  <w:style w:type="paragraph" w:styleId="ListParagraph">
    <w:name w:val="List Paragraph"/>
    <w:basedOn w:val="Normal"/>
    <w:uiPriority w:val="1"/>
    <w:qFormat/>
    <w:rsid w:val="00BB2147"/>
    <w:pPr>
      <w:spacing w:after="160" w:line="259" w:lineRule="auto"/>
      <w:ind w:left="720"/>
      <w:contextualSpacing/>
      <w:jc w:val="left"/>
    </w:pPr>
    <w:rPr>
      <w:rFonts w:ascii="Calibri" w:eastAsia="Calibri" w:hAnsi="Calibri" w:cs="Calibri"/>
      <w:sz w:val="22"/>
      <w:szCs w:val="22"/>
      <w:lang w:val="id-ID"/>
    </w:rPr>
  </w:style>
  <w:style w:type="paragraph" w:styleId="BalloonText">
    <w:name w:val="Balloon Text"/>
    <w:basedOn w:val="Normal"/>
    <w:link w:val="BalloonTextChar"/>
    <w:rsid w:val="00C15659"/>
    <w:rPr>
      <w:rFonts w:ascii="Tahoma" w:hAnsi="Tahoma" w:cs="Tahoma"/>
      <w:sz w:val="16"/>
      <w:szCs w:val="16"/>
    </w:rPr>
  </w:style>
  <w:style w:type="character" w:customStyle="1" w:styleId="BalloonTextChar">
    <w:name w:val="Balloon Text Char"/>
    <w:basedOn w:val="DefaultParagraphFont"/>
    <w:link w:val="BalloonText"/>
    <w:rsid w:val="00C15659"/>
    <w:rPr>
      <w:rFonts w:ascii="Tahoma" w:hAnsi="Tahoma" w:cs="Tahoma"/>
      <w:sz w:val="16"/>
      <w:szCs w:val="16"/>
      <w:lang w:val="en-US" w:eastAsia="en-US"/>
    </w:rPr>
  </w:style>
  <w:style w:type="paragraph" w:customStyle="1" w:styleId="PH2">
    <w:name w:val="PH 2"/>
    <w:basedOn w:val="Normal"/>
    <w:qFormat/>
    <w:rsid w:val="00525179"/>
    <w:pPr>
      <w:spacing w:line="480" w:lineRule="auto"/>
      <w:ind w:left="567" w:firstLine="567"/>
      <w:jc w:val="both"/>
    </w:pPr>
    <w:rPr>
      <w:rFonts w:ascii="Book Antiqua" w:eastAsia="Calibri" w:hAnsi="Book Antiqua" w:cs="Calibri"/>
      <w:sz w:val="22"/>
      <w:szCs w:val="22"/>
      <w:lang w:val="id-ID"/>
    </w:rPr>
  </w:style>
  <w:style w:type="paragraph" w:customStyle="1" w:styleId="PH3">
    <w:name w:val="PH 3"/>
    <w:basedOn w:val="Normal"/>
    <w:qFormat/>
    <w:rsid w:val="0010637B"/>
    <w:pPr>
      <w:spacing w:line="480" w:lineRule="auto"/>
      <w:ind w:left="1134" w:firstLine="567"/>
      <w:jc w:val="both"/>
    </w:pPr>
    <w:rPr>
      <w:rFonts w:ascii="Book Antiqua" w:eastAsia="Calibri" w:hAnsi="Book Antiqua" w:cs="Calibri"/>
      <w:sz w:val="22"/>
      <w:szCs w:val="22"/>
      <w:lang w:val="id-ID"/>
    </w:rPr>
  </w:style>
  <w:style w:type="table" w:styleId="TableGrid">
    <w:name w:val="Table Grid"/>
    <w:basedOn w:val="TableNormal"/>
    <w:uiPriority w:val="39"/>
    <w:rsid w:val="0037406C"/>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37406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36957">
      <w:bodyDiv w:val="1"/>
      <w:marLeft w:val="0"/>
      <w:marRight w:val="0"/>
      <w:marTop w:val="0"/>
      <w:marBottom w:val="0"/>
      <w:divBdr>
        <w:top w:val="none" w:sz="0" w:space="0" w:color="auto"/>
        <w:left w:val="none" w:sz="0" w:space="0" w:color="auto"/>
        <w:bottom w:val="none" w:sz="0" w:space="0" w:color="auto"/>
        <w:right w:val="none" w:sz="0" w:space="0" w:color="auto"/>
      </w:divBdr>
    </w:div>
    <w:div w:id="611671453">
      <w:bodyDiv w:val="1"/>
      <w:marLeft w:val="0"/>
      <w:marRight w:val="0"/>
      <w:marTop w:val="0"/>
      <w:marBottom w:val="0"/>
      <w:divBdr>
        <w:top w:val="none" w:sz="0" w:space="0" w:color="auto"/>
        <w:left w:val="none" w:sz="0" w:space="0" w:color="auto"/>
        <w:bottom w:val="none" w:sz="0" w:space="0" w:color="auto"/>
        <w:right w:val="none" w:sz="0" w:space="0" w:color="auto"/>
      </w:divBdr>
    </w:div>
    <w:div w:id="712272738">
      <w:bodyDiv w:val="1"/>
      <w:marLeft w:val="0"/>
      <w:marRight w:val="0"/>
      <w:marTop w:val="0"/>
      <w:marBottom w:val="0"/>
      <w:divBdr>
        <w:top w:val="none" w:sz="0" w:space="0" w:color="auto"/>
        <w:left w:val="none" w:sz="0" w:space="0" w:color="auto"/>
        <w:bottom w:val="none" w:sz="0" w:space="0" w:color="auto"/>
        <w:right w:val="none" w:sz="0" w:space="0" w:color="auto"/>
      </w:divBdr>
    </w:div>
    <w:div w:id="748698357">
      <w:bodyDiv w:val="1"/>
      <w:marLeft w:val="0"/>
      <w:marRight w:val="0"/>
      <w:marTop w:val="0"/>
      <w:marBottom w:val="0"/>
      <w:divBdr>
        <w:top w:val="none" w:sz="0" w:space="0" w:color="auto"/>
        <w:left w:val="none" w:sz="0" w:space="0" w:color="auto"/>
        <w:bottom w:val="none" w:sz="0" w:space="0" w:color="auto"/>
        <w:right w:val="none" w:sz="0" w:space="0" w:color="auto"/>
      </w:divBdr>
    </w:div>
    <w:div w:id="808478520">
      <w:bodyDiv w:val="1"/>
      <w:marLeft w:val="0"/>
      <w:marRight w:val="0"/>
      <w:marTop w:val="0"/>
      <w:marBottom w:val="0"/>
      <w:divBdr>
        <w:top w:val="none" w:sz="0" w:space="0" w:color="auto"/>
        <w:left w:val="none" w:sz="0" w:space="0" w:color="auto"/>
        <w:bottom w:val="none" w:sz="0" w:space="0" w:color="auto"/>
        <w:right w:val="none" w:sz="0" w:space="0" w:color="auto"/>
      </w:divBdr>
    </w:div>
    <w:div w:id="1020621253">
      <w:bodyDiv w:val="1"/>
      <w:marLeft w:val="0"/>
      <w:marRight w:val="0"/>
      <w:marTop w:val="0"/>
      <w:marBottom w:val="0"/>
      <w:divBdr>
        <w:top w:val="none" w:sz="0" w:space="0" w:color="auto"/>
        <w:left w:val="none" w:sz="0" w:space="0" w:color="auto"/>
        <w:bottom w:val="none" w:sz="0" w:space="0" w:color="auto"/>
        <w:right w:val="none" w:sz="0" w:space="0" w:color="auto"/>
      </w:divBdr>
    </w:div>
    <w:div w:id="1503206082">
      <w:bodyDiv w:val="1"/>
      <w:marLeft w:val="0"/>
      <w:marRight w:val="0"/>
      <w:marTop w:val="0"/>
      <w:marBottom w:val="0"/>
      <w:divBdr>
        <w:top w:val="none" w:sz="0" w:space="0" w:color="auto"/>
        <w:left w:val="none" w:sz="0" w:space="0" w:color="auto"/>
        <w:bottom w:val="none" w:sz="0" w:space="0" w:color="auto"/>
        <w:right w:val="none" w:sz="0" w:space="0" w:color="auto"/>
      </w:divBdr>
    </w:div>
    <w:div w:id="1803889088">
      <w:bodyDiv w:val="1"/>
      <w:marLeft w:val="0"/>
      <w:marRight w:val="0"/>
      <w:marTop w:val="0"/>
      <w:marBottom w:val="0"/>
      <w:divBdr>
        <w:top w:val="none" w:sz="0" w:space="0" w:color="auto"/>
        <w:left w:val="none" w:sz="0" w:space="0" w:color="auto"/>
        <w:bottom w:val="none" w:sz="0" w:space="0" w:color="auto"/>
        <w:right w:val="none" w:sz="0" w:space="0" w:color="auto"/>
      </w:divBdr>
    </w:div>
    <w:div w:id="1850366383">
      <w:bodyDiv w:val="1"/>
      <w:marLeft w:val="0"/>
      <w:marRight w:val="0"/>
      <w:marTop w:val="0"/>
      <w:marBottom w:val="0"/>
      <w:divBdr>
        <w:top w:val="none" w:sz="0" w:space="0" w:color="auto"/>
        <w:left w:val="none" w:sz="0" w:space="0" w:color="auto"/>
        <w:bottom w:val="none" w:sz="0" w:space="0" w:color="auto"/>
        <w:right w:val="none" w:sz="0" w:space="0" w:color="auto"/>
      </w:divBdr>
    </w:div>
    <w:div w:id="196565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D5DB50A-E56A-4762-92BE-93F71941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3636</TotalTime>
  <Pages>10</Pages>
  <Words>8928</Words>
  <Characters>50893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ASUS</cp:lastModifiedBy>
  <cp:revision>138</cp:revision>
  <cp:lastPrinted>2021-09-21T00:42:00Z</cp:lastPrinted>
  <dcterms:created xsi:type="dcterms:W3CDTF">2021-11-14T16:18:00Z</dcterms:created>
  <dcterms:modified xsi:type="dcterms:W3CDTF">2022-04-07T09:17:00Z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28ac478b-68f7-3213-9bed-4921dce479e4</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