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68FEC" w14:textId="111EAA88" w:rsidR="00E04C25" w:rsidRPr="00AC6C38" w:rsidRDefault="00DA5119" w:rsidP="00E50CE0">
      <w:pPr>
        <w:pStyle w:val="Stylepapertitle14pt"/>
        <w:spacing w:after="0" w:line="276" w:lineRule="auto"/>
        <w:rPr>
          <w:b/>
          <w:sz w:val="22"/>
          <w:szCs w:val="22"/>
        </w:rPr>
      </w:pPr>
      <w:r w:rsidRPr="00AC6C38">
        <w:rPr>
          <w:b/>
          <w:sz w:val="22"/>
          <w:szCs w:val="22"/>
        </w:rPr>
        <w:t>ANALIS</w:t>
      </w:r>
      <w:r w:rsidR="00A57D13" w:rsidRPr="00AC6C38">
        <w:rPr>
          <w:b/>
          <w:sz w:val="22"/>
          <w:szCs w:val="22"/>
          <w:lang w:val="id-ID"/>
        </w:rPr>
        <w:t>IS</w:t>
      </w:r>
      <w:r w:rsidRPr="00AC6C38">
        <w:rPr>
          <w:b/>
          <w:sz w:val="22"/>
          <w:szCs w:val="22"/>
        </w:rPr>
        <w:t xml:space="preserve"> KLAUSULA BAKU </w:t>
      </w:r>
      <w:r w:rsidR="00396093" w:rsidRPr="00AC6C38">
        <w:rPr>
          <w:b/>
          <w:sz w:val="22"/>
          <w:szCs w:val="22"/>
          <w:lang w:val="id-ID"/>
        </w:rPr>
        <w:t xml:space="preserve">PADA APLIKASI </w:t>
      </w:r>
      <w:r w:rsidRPr="00AC6C38">
        <w:rPr>
          <w:b/>
          <w:i/>
          <w:sz w:val="22"/>
          <w:szCs w:val="22"/>
        </w:rPr>
        <w:t>REDDOORZ</w:t>
      </w:r>
      <w:r w:rsidRPr="00AC6C38">
        <w:rPr>
          <w:b/>
          <w:sz w:val="22"/>
          <w:szCs w:val="22"/>
        </w:rPr>
        <w:t xml:space="preserve"> TERKAIT PENGALIHAN TANGGUNG JAWAB</w:t>
      </w:r>
    </w:p>
    <w:p w14:paraId="69AC2BB2" w14:textId="77777777" w:rsidR="004F1ECF" w:rsidRPr="00AC6C38" w:rsidRDefault="004F1ECF" w:rsidP="00E50CE0">
      <w:pPr>
        <w:pStyle w:val="Stylepapertitle14pt"/>
        <w:spacing w:after="0" w:line="276" w:lineRule="auto"/>
        <w:rPr>
          <w:b/>
          <w:sz w:val="20"/>
          <w:szCs w:val="20"/>
        </w:rPr>
      </w:pPr>
    </w:p>
    <w:p w14:paraId="0D153923" w14:textId="77777777" w:rsidR="00CD4368" w:rsidRPr="00AC6C38" w:rsidRDefault="0014178F" w:rsidP="00E50CE0">
      <w:pPr>
        <w:pStyle w:val="StyleAuthorBold"/>
        <w:spacing w:before="0" w:after="0" w:line="276" w:lineRule="auto"/>
        <w:rPr>
          <w:lang w:val="id-ID"/>
        </w:rPr>
      </w:pPr>
      <w:r w:rsidRPr="00AC6C38">
        <w:t>Avita</w:t>
      </w:r>
      <w:r w:rsidR="004A49CA" w:rsidRPr="00AC6C38">
        <w:rPr>
          <w:lang w:val="id-ID"/>
        </w:rPr>
        <w:t xml:space="preserve"> Firdausi</w:t>
      </w:r>
    </w:p>
    <w:p w14:paraId="023DB5A8" w14:textId="77777777" w:rsidR="008E4D36" w:rsidRPr="00AC6C38" w:rsidRDefault="00FD468D" w:rsidP="00E50CE0">
      <w:pPr>
        <w:pStyle w:val="Afiliasi"/>
        <w:spacing w:before="0" w:after="0" w:line="276" w:lineRule="auto"/>
      </w:pPr>
      <w:r w:rsidRPr="00AC6C38">
        <w:t xml:space="preserve">Program Studi S-1 Ilmu Hukum, Fakultas Ilmu Sosial dan Hukum, Universitas Negeri Surabaya, </w:t>
      </w:r>
    </w:p>
    <w:p w14:paraId="146E9B84" w14:textId="77777777" w:rsidR="008E4D36" w:rsidRPr="00AC6C38" w:rsidRDefault="0043399B" w:rsidP="00E50CE0">
      <w:pPr>
        <w:pStyle w:val="Afiliasi"/>
        <w:spacing w:before="0" w:after="0" w:line="276" w:lineRule="auto"/>
      </w:pPr>
      <w:hyperlink r:id="rId8" w:history="1">
        <w:r w:rsidR="008E4D36" w:rsidRPr="00AC6C38">
          <w:rPr>
            <w:rStyle w:val="Hyperlink"/>
            <w:color w:val="auto"/>
          </w:rPr>
          <w:t>avitafirdausi@mhs.unesa.ac.id</w:t>
        </w:r>
      </w:hyperlink>
      <w:r w:rsidR="008E4D36" w:rsidRPr="00AC6C38">
        <w:t xml:space="preserve"> </w:t>
      </w:r>
    </w:p>
    <w:p w14:paraId="7250D43E" w14:textId="77777777" w:rsidR="008E4D36" w:rsidRPr="00AC6C38" w:rsidRDefault="008E4D36" w:rsidP="00E50CE0">
      <w:pPr>
        <w:pStyle w:val="Afiliasi"/>
        <w:spacing w:before="0" w:after="0" w:line="276" w:lineRule="auto"/>
      </w:pPr>
    </w:p>
    <w:p w14:paraId="21EB55B2" w14:textId="77777777" w:rsidR="00CD4368" w:rsidRPr="00AC6C38" w:rsidRDefault="00FD468D" w:rsidP="00E50CE0">
      <w:pPr>
        <w:pStyle w:val="Afiliasi"/>
        <w:spacing w:before="0" w:after="0" w:line="276" w:lineRule="auto"/>
        <w:ind w:right="2"/>
        <w:rPr>
          <w:rFonts w:eastAsia="Calibri"/>
          <w:b/>
          <w:sz w:val="22"/>
          <w:szCs w:val="22"/>
          <w:lang w:val="en-US"/>
        </w:rPr>
      </w:pPr>
      <w:r w:rsidRPr="00AC6C38">
        <w:rPr>
          <w:rFonts w:eastAsia="Calibri"/>
          <w:b/>
          <w:sz w:val="22"/>
          <w:szCs w:val="22"/>
        </w:rPr>
        <w:t>Eny Sulistyowati</w:t>
      </w:r>
    </w:p>
    <w:p w14:paraId="5C435B37" w14:textId="77777777" w:rsidR="00CD4368" w:rsidRPr="00AC6C38" w:rsidRDefault="00FD468D" w:rsidP="00E50CE0">
      <w:pPr>
        <w:pStyle w:val="abstrak"/>
        <w:spacing w:line="276" w:lineRule="auto"/>
        <w:ind w:left="0" w:right="143"/>
        <w:jc w:val="center"/>
        <w:rPr>
          <w:szCs w:val="20"/>
        </w:rPr>
      </w:pPr>
      <w:r w:rsidRPr="00AC6C38">
        <w:rPr>
          <w:szCs w:val="20"/>
        </w:rPr>
        <w:t>Program Studi S-1 Ilmu Hukum, Fakultas Ilmu Sosia</w:t>
      </w:r>
      <w:r w:rsidR="00CE391A" w:rsidRPr="00AC6C38">
        <w:rPr>
          <w:szCs w:val="20"/>
        </w:rPr>
        <w:t xml:space="preserve">l dan Hukum, Universitas Negeri </w:t>
      </w:r>
      <w:r w:rsidRPr="00AC6C38">
        <w:rPr>
          <w:szCs w:val="20"/>
        </w:rPr>
        <w:t>Surabaya,</w:t>
      </w:r>
    </w:p>
    <w:p w14:paraId="1F0F26BF" w14:textId="77777777" w:rsidR="00CD4368" w:rsidRPr="00AC6C38" w:rsidRDefault="0043399B" w:rsidP="00E50CE0">
      <w:pPr>
        <w:pStyle w:val="Afiliasi"/>
        <w:spacing w:before="0" w:after="0" w:line="276" w:lineRule="auto"/>
        <w:ind w:right="2"/>
        <w:rPr>
          <w:rStyle w:val="Hyperlink"/>
          <w:color w:val="auto"/>
          <w:lang w:val="en-US"/>
        </w:rPr>
      </w:pPr>
      <w:hyperlink r:id="rId9" w:history="1">
        <w:r w:rsidR="00FD468D" w:rsidRPr="00AC6C38">
          <w:rPr>
            <w:rStyle w:val="Hyperlink"/>
            <w:color w:val="auto"/>
            <w:lang w:val="en-US"/>
          </w:rPr>
          <w:t>enysulistyowati@unesa.ac.id</w:t>
        </w:r>
      </w:hyperlink>
    </w:p>
    <w:p w14:paraId="234E3818" w14:textId="77777777" w:rsidR="008E4D36" w:rsidRPr="00AC6C38" w:rsidRDefault="008E4D36" w:rsidP="00E50CE0">
      <w:pPr>
        <w:pStyle w:val="Afiliasi"/>
        <w:spacing w:before="0" w:after="0" w:line="276" w:lineRule="auto"/>
        <w:ind w:right="2"/>
        <w:jc w:val="both"/>
        <w:rPr>
          <w:rStyle w:val="Hyperlink"/>
          <w:color w:val="auto"/>
          <w:lang w:val="en-US"/>
        </w:rPr>
      </w:pPr>
    </w:p>
    <w:p w14:paraId="0ACAA7DF" w14:textId="77777777" w:rsidR="00E04C25" w:rsidRPr="00AC6C38" w:rsidRDefault="00E21821" w:rsidP="00E50CE0">
      <w:pPr>
        <w:pStyle w:val="Afiliasi"/>
        <w:spacing w:before="0" w:after="0" w:line="276" w:lineRule="auto"/>
        <w:ind w:right="2"/>
        <w:rPr>
          <w:b/>
          <w:bCs/>
          <w:lang w:val="en-AU"/>
        </w:rPr>
      </w:pPr>
      <w:r w:rsidRPr="00AC6C38">
        <w:rPr>
          <w:b/>
          <w:bCs/>
          <w:lang w:val="en-AU"/>
        </w:rPr>
        <w:t>ABSTRAK</w:t>
      </w:r>
    </w:p>
    <w:p w14:paraId="1B96BD80" w14:textId="78E4D06B" w:rsidR="001C50AA" w:rsidRPr="00AC6C38" w:rsidRDefault="00283570" w:rsidP="00AC6C38">
      <w:pPr>
        <w:ind w:left="567" w:right="567"/>
        <w:jc w:val="both"/>
        <w:rPr>
          <w:lang w:val="id-ID"/>
        </w:rPr>
      </w:pPr>
      <w:bookmarkStart w:id="0" w:name="_Hlk106597699"/>
      <w:r w:rsidRPr="00AC6C38">
        <w:t>S</w:t>
      </w:r>
      <w:r w:rsidR="001C50AA" w:rsidRPr="00AC6C38">
        <w:t>alah satu klausul yang terdapat pad</w:t>
      </w:r>
      <w:r w:rsidR="00B4010E" w:rsidRPr="00AC6C38">
        <w:t xml:space="preserve">a aplikasi </w:t>
      </w:r>
      <w:r w:rsidR="00B4010E" w:rsidRPr="00AC6C38">
        <w:rPr>
          <w:i/>
          <w:iCs/>
        </w:rPr>
        <w:t>RedDoorz</w:t>
      </w:r>
      <w:r w:rsidR="00B4010E" w:rsidRPr="00AC6C38">
        <w:t xml:space="preserve"> </w:t>
      </w:r>
      <w:r w:rsidR="0075541C" w:rsidRPr="00AC6C38">
        <w:rPr>
          <w:lang w:val="id-ID"/>
        </w:rPr>
        <w:t xml:space="preserve">menyatakan </w:t>
      </w:r>
      <w:r w:rsidR="00186A08" w:rsidRPr="00AC6C38">
        <w:t xml:space="preserve">jika dalam keadaan apapun, </w:t>
      </w:r>
      <w:r w:rsidR="00186A08" w:rsidRPr="00AC6C38">
        <w:rPr>
          <w:i/>
          <w:iCs/>
        </w:rPr>
        <w:t>RedDoorz</w:t>
      </w:r>
      <w:r w:rsidR="00186A08" w:rsidRPr="00AC6C38">
        <w:t xml:space="preserve"> mengalihkan tanggung jawabnya secara total kepada pengguna aplikasi </w:t>
      </w:r>
      <w:r w:rsidR="00186A08" w:rsidRPr="00AC6C38">
        <w:rPr>
          <w:i/>
          <w:iCs/>
        </w:rPr>
        <w:t>RedDoorz</w:t>
      </w:r>
      <w:r w:rsidR="00186A08" w:rsidRPr="00AC6C38">
        <w:t xml:space="preserve"> atas </w:t>
      </w:r>
      <w:r w:rsidR="00906164" w:rsidRPr="00AC6C38">
        <w:t>adanya seluruh kerugian yang timbul serta penyebab dari timbulnya kerugian</w:t>
      </w:r>
      <w:r w:rsidR="007773A3" w:rsidRPr="00AC6C38">
        <w:rPr>
          <w:lang w:val="id-ID"/>
        </w:rPr>
        <w:t xml:space="preserve">, </w:t>
      </w:r>
      <w:r w:rsidR="00906164" w:rsidRPr="00AC6C38">
        <w:t>seperti kesalahan kontrak atau kelalaian yang lain</w:t>
      </w:r>
      <w:r w:rsidR="00E03EA2" w:rsidRPr="00AC6C38">
        <w:rPr>
          <w:lang w:val="id-ID"/>
        </w:rPr>
        <w:t>. K</w:t>
      </w:r>
      <w:r w:rsidR="001C50AA" w:rsidRPr="00AC6C38">
        <w:t xml:space="preserve">onflik ini terjadi salah satunya adalah disebabkan </w:t>
      </w:r>
      <w:r w:rsidR="00186A08" w:rsidRPr="00AC6C38">
        <w:rPr>
          <w:lang w:val="id-ID"/>
        </w:rPr>
        <w:t xml:space="preserve">karena </w:t>
      </w:r>
      <w:r w:rsidR="001C50AA" w:rsidRPr="00AC6C38">
        <w:t xml:space="preserve">adanya klausula baku yang digunakan oleh </w:t>
      </w:r>
      <w:r w:rsidR="001C50AA" w:rsidRPr="00AC6C38">
        <w:rPr>
          <w:i/>
          <w:iCs/>
        </w:rPr>
        <w:t>Travel</w:t>
      </w:r>
      <w:r w:rsidR="001C50AA" w:rsidRPr="00AC6C38">
        <w:t xml:space="preserve"> </w:t>
      </w:r>
      <w:r w:rsidR="001C50AA" w:rsidRPr="00AC6C38">
        <w:rPr>
          <w:i/>
          <w:iCs/>
        </w:rPr>
        <w:t>Agent</w:t>
      </w:r>
      <w:r w:rsidR="001C50AA" w:rsidRPr="00AC6C38">
        <w:t xml:space="preserve"> </w:t>
      </w:r>
      <w:r w:rsidR="001C50AA" w:rsidRPr="00AC6C38">
        <w:rPr>
          <w:i/>
          <w:iCs/>
        </w:rPr>
        <w:t>Online</w:t>
      </w:r>
      <w:r w:rsidR="001C50AA" w:rsidRPr="00AC6C38">
        <w:t xml:space="preserve"> dalam setiap perjanjiannya dengan para anggota yang mana </w:t>
      </w:r>
      <w:r w:rsidR="001C50AA" w:rsidRPr="00AC6C38">
        <w:rPr>
          <w:i/>
          <w:iCs/>
        </w:rPr>
        <w:t>RedDoorz</w:t>
      </w:r>
      <w:r w:rsidR="001C50AA" w:rsidRPr="00AC6C38">
        <w:t xml:space="preserve"> </w:t>
      </w:r>
      <w:r w:rsidR="00761825" w:rsidRPr="00AC6C38">
        <w:rPr>
          <w:lang w:val="id-ID"/>
        </w:rPr>
        <w:t xml:space="preserve">mengalihkan tanggung jawab sepenuhnya kepada pengguna aplikasi </w:t>
      </w:r>
      <w:r w:rsidR="00761825" w:rsidRPr="00AC6C38">
        <w:t>dan tertulis didalamnya dalam bentuk segala kelalaian</w:t>
      </w:r>
      <w:r w:rsidR="001C50AA" w:rsidRPr="00AC6C38">
        <w:t xml:space="preserve">. Pengalihan tanggung jawab ini tidak seharusnya dilakukan oleh </w:t>
      </w:r>
      <w:r w:rsidR="001C50AA" w:rsidRPr="00AC6C38">
        <w:rPr>
          <w:i/>
          <w:iCs/>
        </w:rPr>
        <w:t>RedDoorz</w:t>
      </w:r>
      <w:r w:rsidR="001C50AA" w:rsidRPr="00AC6C38">
        <w:t xml:space="preserve"> selaku </w:t>
      </w:r>
      <w:r w:rsidR="001C50AA" w:rsidRPr="00AC6C38">
        <w:rPr>
          <w:i/>
          <w:iCs/>
        </w:rPr>
        <w:t>travel agent online</w:t>
      </w:r>
      <w:r w:rsidR="001C50AA" w:rsidRPr="00AC6C38">
        <w:t xml:space="preserve"> </w:t>
      </w:r>
      <w:r w:rsidR="0075541C" w:rsidRPr="00AC6C38">
        <w:rPr>
          <w:lang w:val="id-ID"/>
        </w:rPr>
        <w:t>dimana</w:t>
      </w:r>
      <w:r w:rsidR="001C50AA" w:rsidRPr="00AC6C38">
        <w:t xml:space="preserve"> seharusnya pelaku usaha memberikan kenyamanan dan tanggung jawab penuh bagi pengguna usaha. Pembahasan mengenai perlindungan hukum bagi konsumen terkait klausula baku oleh aplikasi </w:t>
      </w:r>
      <w:r w:rsidR="001C50AA" w:rsidRPr="00AC6C38">
        <w:rPr>
          <w:i/>
          <w:iCs/>
        </w:rPr>
        <w:t>RedDoorz</w:t>
      </w:r>
      <w:r w:rsidR="001C50AA" w:rsidRPr="00AC6C38">
        <w:t xml:space="preserve"> dan akibat hukum pengalihan tanggung jawab yang dilakukan oleh penyelenggara aplikasi </w:t>
      </w:r>
      <w:r w:rsidR="001C50AA" w:rsidRPr="00AC6C38">
        <w:rPr>
          <w:i/>
          <w:iCs/>
        </w:rPr>
        <w:t>RedDoorz</w:t>
      </w:r>
      <w:r w:rsidR="001C50AA" w:rsidRPr="00AC6C38">
        <w:t xml:space="preserve">. </w:t>
      </w:r>
      <w:r w:rsidR="00906164" w:rsidRPr="00AC6C38">
        <w:t xml:space="preserve">Pada penelitian ini menggunakan jenis penelitian normatif. Pada KUHPerdata mengatur juga mengenai perlindungan hukum yang fokus kepada korban atau yang mengalami kerugian, berupa ganti rugi yang telah timbul dalam Pasal 1 angka 1 UUPK yang menyebutkan bahwa segala upaya pada kepastian hukum dan ditujukan untuk melindungi konsumen merupakan penjabaran dari pengartian perlindungan konsumen dan adanya pengalihan tanggung jawab </w:t>
      </w:r>
      <w:r w:rsidR="001C50AA" w:rsidRPr="00AC6C38">
        <w:t xml:space="preserve">dan menimbulkan pengalihan tanggung jawab dari </w:t>
      </w:r>
      <w:r w:rsidR="001C50AA" w:rsidRPr="00AC6C38">
        <w:rPr>
          <w:i/>
          <w:iCs/>
        </w:rPr>
        <w:t>Reddoorz</w:t>
      </w:r>
      <w:r w:rsidR="001C50AA" w:rsidRPr="00AC6C38">
        <w:t xml:space="preserve"> dan melanggar Pasal 18 UUPK, maka sesuai penjelasan di</w:t>
      </w:r>
      <w:r w:rsidR="00497748" w:rsidRPr="00AC6C38">
        <w:rPr>
          <w:lang w:val="id-ID"/>
        </w:rPr>
        <w:t xml:space="preserve"> </w:t>
      </w:r>
      <w:r w:rsidR="001C50AA" w:rsidRPr="00AC6C38">
        <w:t>atas</w:t>
      </w:r>
      <w:r w:rsidR="00497748" w:rsidRPr="00AC6C38">
        <w:rPr>
          <w:lang w:val="id-ID"/>
        </w:rPr>
        <w:t>,</w:t>
      </w:r>
      <w:r w:rsidR="001C50AA" w:rsidRPr="00AC6C38">
        <w:t xml:space="preserve"> </w:t>
      </w:r>
      <w:r w:rsidR="00A57D13" w:rsidRPr="00AC6C38">
        <w:rPr>
          <w:i/>
          <w:iCs/>
          <w:lang w:val="id-ID"/>
        </w:rPr>
        <w:t>R</w:t>
      </w:r>
      <w:r w:rsidR="001C50AA" w:rsidRPr="00AC6C38">
        <w:rPr>
          <w:i/>
          <w:iCs/>
        </w:rPr>
        <w:t>ed</w:t>
      </w:r>
      <w:r w:rsidR="00A57D13" w:rsidRPr="00AC6C38">
        <w:rPr>
          <w:i/>
          <w:iCs/>
          <w:lang w:val="id-ID"/>
        </w:rPr>
        <w:t>D</w:t>
      </w:r>
      <w:r w:rsidR="001C50AA" w:rsidRPr="00AC6C38">
        <w:rPr>
          <w:i/>
          <w:iCs/>
        </w:rPr>
        <w:t>oorz</w:t>
      </w:r>
      <w:r w:rsidR="001C50AA" w:rsidRPr="00AC6C38">
        <w:t xml:space="preserve"> dapat dijatuhkan hukuman pidana sesuai Pasal 62 ayat (1) UUPK. </w:t>
      </w:r>
    </w:p>
    <w:p w14:paraId="0BDDB29B" w14:textId="6629875B" w:rsidR="00905F61" w:rsidRPr="00AC6C38" w:rsidRDefault="00905F61" w:rsidP="00AC6C38">
      <w:pPr>
        <w:ind w:left="567" w:right="567"/>
        <w:jc w:val="both"/>
      </w:pPr>
      <w:r w:rsidRPr="00AC6C38">
        <w:rPr>
          <w:b/>
        </w:rPr>
        <w:t>Kata Kunci:</w:t>
      </w:r>
      <w:r w:rsidRPr="00AC6C38">
        <w:t xml:space="preserve"> </w:t>
      </w:r>
      <w:r w:rsidR="00D17525" w:rsidRPr="00AC6C38">
        <w:rPr>
          <w:lang w:val="id-ID"/>
        </w:rPr>
        <w:t>Klausula</w:t>
      </w:r>
      <w:r w:rsidRPr="00AC6C38">
        <w:t xml:space="preserve"> Baku, Pengalihan Tanggung Jawab</w:t>
      </w:r>
      <w:bookmarkEnd w:id="0"/>
    </w:p>
    <w:p w14:paraId="0FC145FC" w14:textId="77777777" w:rsidR="00C82428" w:rsidRPr="00AC6C38" w:rsidRDefault="00C82428" w:rsidP="00E50CE0">
      <w:pPr>
        <w:spacing w:line="276" w:lineRule="auto"/>
        <w:ind w:right="710"/>
        <w:jc w:val="both"/>
      </w:pPr>
    </w:p>
    <w:p w14:paraId="53198936" w14:textId="77777777" w:rsidR="00E21821" w:rsidRPr="00AC6C38" w:rsidRDefault="00E21821" w:rsidP="00E50CE0">
      <w:pPr>
        <w:pStyle w:val="Afiliasi"/>
        <w:spacing w:before="0" w:after="0" w:line="276" w:lineRule="auto"/>
        <w:ind w:left="426" w:right="710"/>
        <w:rPr>
          <w:b/>
          <w:iCs/>
          <w:lang w:val="en-AU"/>
        </w:rPr>
      </w:pPr>
      <w:r w:rsidRPr="00AC6C38">
        <w:rPr>
          <w:b/>
          <w:iCs/>
          <w:lang w:val="en-AU"/>
        </w:rPr>
        <w:t>ABSTRACT</w:t>
      </w:r>
    </w:p>
    <w:p w14:paraId="13D160C0" w14:textId="7BF4F88B" w:rsidR="00906164" w:rsidRPr="00AC6C38" w:rsidRDefault="00906164" w:rsidP="00AC6C38">
      <w:pPr>
        <w:pStyle w:val="abstrak"/>
        <w:rPr>
          <w:iCs/>
          <w:noProof/>
          <w:spacing w:val="0"/>
          <w:szCs w:val="20"/>
          <w:lang w:val="en-AU"/>
        </w:rPr>
      </w:pPr>
      <w:r w:rsidRPr="00AC6C38">
        <w:rPr>
          <w:iCs/>
          <w:noProof/>
          <w:spacing w:val="0"/>
          <w:szCs w:val="20"/>
          <w:lang w:val="en-AU"/>
        </w:rPr>
        <w:t>One of the clauses contained in the RedDoorz application states that under any circumstances, RedDoorz transfers its total responsibility to the users of the RedDoorz application for all losses incurred as well as the causes of losses such as cont</w:t>
      </w:r>
      <w:r w:rsidR="00587BA8" w:rsidRPr="00AC6C38">
        <w:rPr>
          <w:iCs/>
          <w:noProof/>
          <w:spacing w:val="0"/>
          <w:szCs w:val="20"/>
          <w:lang w:val="en-AU"/>
        </w:rPr>
        <w:t xml:space="preserve">ract errors or other negligence. </w:t>
      </w:r>
      <w:r w:rsidRPr="00AC6C38">
        <w:rPr>
          <w:iCs/>
          <w:noProof/>
          <w:spacing w:val="0"/>
          <w:szCs w:val="20"/>
          <w:lang w:val="en-AU"/>
        </w:rPr>
        <w:t>One of the causes of this conflict is due to the standard clause used by Online Travel Agents in each of their agreements with members in which RedDoorz will not compensate for losses exceeding USS 50.00 and it is written in it in the form of any negligence. This transfer of responsibility should not be carried out by RedDoorz as an online travel agent where business actors should provide comfort and full responsibility for business users. Discussion on legal protection for consumers related to standard clauses by the RedDoorz application and the legal consequences of the transfer of responsibility carried out by the organizers of the RedDoorz application. In this study using the type of normative research. The Civil Code also regulates legal protection that focuses on victims or those who suffer losses, in the form of compensation that has arisen in Article 1 point 1 of the UUPK which states that all efforts at legal certainty and aimed at protecting consumers are an elaboration of the meaning of consumer protection and the transfer responsibility and cause a transfer of responsibility from Reddoorz and violate Article 18 UUPK, then according to the explanation above, RedDoorz can be sentenced to criminal penalties in accordance with Article 62 paragraph (1) UUPK.</w:t>
      </w:r>
    </w:p>
    <w:p w14:paraId="5D73AAEB" w14:textId="4D31BB00" w:rsidR="000218E3" w:rsidRPr="00AC6C38" w:rsidRDefault="00CE391A" w:rsidP="00AC6C38">
      <w:pPr>
        <w:pStyle w:val="abstrak"/>
        <w:rPr>
          <w:iCs/>
          <w:szCs w:val="20"/>
          <w:lang w:val="id-ID"/>
        </w:rPr>
      </w:pPr>
      <w:r w:rsidRPr="00AC6C38">
        <w:rPr>
          <w:b/>
          <w:iCs/>
          <w:noProof/>
          <w:spacing w:val="0"/>
          <w:szCs w:val="20"/>
          <w:lang w:val="en-AU"/>
        </w:rPr>
        <w:lastRenderedPageBreak/>
        <w:t>Keywords:</w:t>
      </w:r>
      <w:r w:rsidRPr="00AC6C38">
        <w:rPr>
          <w:iCs/>
          <w:noProof/>
          <w:spacing w:val="0"/>
          <w:szCs w:val="20"/>
          <w:lang w:val="en-AU"/>
        </w:rPr>
        <w:t xml:space="preserve"> Standard </w:t>
      </w:r>
      <w:r w:rsidR="00D17525" w:rsidRPr="00AC6C38">
        <w:rPr>
          <w:iCs/>
          <w:noProof/>
          <w:spacing w:val="0"/>
          <w:szCs w:val="20"/>
          <w:lang w:val="id-ID"/>
        </w:rPr>
        <w:t>Cluse</w:t>
      </w:r>
      <w:r w:rsidRPr="00AC6C38">
        <w:rPr>
          <w:iCs/>
          <w:noProof/>
          <w:spacing w:val="0"/>
          <w:szCs w:val="20"/>
          <w:lang w:val="en-AU"/>
        </w:rPr>
        <w:t xml:space="preserve">, Transfer of </w:t>
      </w:r>
      <w:r w:rsidR="00EC17CC" w:rsidRPr="00AC6C38">
        <w:rPr>
          <w:iCs/>
          <w:noProof/>
          <w:spacing w:val="0"/>
          <w:szCs w:val="20"/>
          <w:lang w:val="id-ID"/>
        </w:rPr>
        <w:t>Responsibility</w:t>
      </w:r>
    </w:p>
    <w:p w14:paraId="3970DB27" w14:textId="77777777" w:rsidR="00CD4368" w:rsidRPr="00AC6C38" w:rsidRDefault="00CD4368" w:rsidP="00E50CE0">
      <w:pPr>
        <w:spacing w:line="276" w:lineRule="auto"/>
        <w:jc w:val="both"/>
        <w:rPr>
          <w:lang w:val="id-ID"/>
        </w:rPr>
      </w:pPr>
    </w:p>
    <w:p w14:paraId="30A8B9BE" w14:textId="77777777" w:rsidR="002A245E" w:rsidRPr="00AC6C38" w:rsidRDefault="002A245E" w:rsidP="00E50CE0">
      <w:pPr>
        <w:spacing w:line="276" w:lineRule="auto"/>
        <w:jc w:val="both"/>
        <w:rPr>
          <w:lang w:val="id-ID"/>
        </w:rPr>
        <w:sectPr w:rsidR="002A245E" w:rsidRPr="00AC6C38" w:rsidSect="00283570">
          <w:headerReference w:type="even" r:id="rId10"/>
          <w:headerReference w:type="default" r:id="rId11"/>
          <w:footerReference w:type="even" r:id="rId12"/>
          <w:footerReference w:type="default" r:id="rId13"/>
          <w:headerReference w:type="first" r:id="rId14"/>
          <w:type w:val="continuous"/>
          <w:pgSz w:w="11909" w:h="16834" w:code="9"/>
          <w:pgMar w:top="1701" w:right="1701" w:bottom="1701" w:left="2268" w:header="720" w:footer="720" w:gutter="0"/>
          <w:cols w:space="720"/>
          <w:docGrid w:linePitch="360"/>
        </w:sectPr>
      </w:pPr>
    </w:p>
    <w:p w14:paraId="39944295" w14:textId="77777777" w:rsidR="00CD4368" w:rsidRPr="00AC6C38" w:rsidRDefault="00FD468D" w:rsidP="00E50CE0">
      <w:pPr>
        <w:pStyle w:val="Heading1"/>
        <w:numPr>
          <w:ilvl w:val="0"/>
          <w:numId w:val="0"/>
        </w:numPr>
        <w:spacing w:before="0" w:after="0" w:line="276" w:lineRule="auto"/>
        <w:jc w:val="both"/>
        <w:rPr>
          <w:b/>
        </w:rPr>
      </w:pPr>
      <w:r w:rsidRPr="00AC6C38">
        <w:rPr>
          <w:b/>
          <w:lang w:val="id-ID"/>
        </w:rPr>
        <w:lastRenderedPageBreak/>
        <w:t xml:space="preserve">PENDAHULUAN </w:t>
      </w:r>
    </w:p>
    <w:p w14:paraId="157EC127" w14:textId="59414886" w:rsidR="00CA5BAD" w:rsidRPr="00AC6C38" w:rsidRDefault="00CA5BAD" w:rsidP="00E50CE0">
      <w:pPr>
        <w:spacing w:line="276" w:lineRule="auto"/>
        <w:ind w:right="245" w:firstLine="567"/>
        <w:jc w:val="both"/>
      </w:pPr>
      <w:r w:rsidRPr="00AC6C38">
        <w:rPr>
          <w:lang w:val="id-ID"/>
        </w:rPr>
        <w:t>Sebagai negara dengan kekayaan alam dan pemandangan yang menakjubkan</w:t>
      </w:r>
      <w:r w:rsidR="004A49CA" w:rsidRPr="00AC6C38">
        <w:rPr>
          <w:lang w:val="id-ID"/>
        </w:rPr>
        <w:t>,</w:t>
      </w:r>
      <w:r w:rsidRPr="00AC6C38">
        <w:rPr>
          <w:lang w:val="id-ID"/>
        </w:rPr>
        <w:t xml:space="preserve"> Indonesia memiliki potensi yang besar dan masih bisa dikembangkan dalam sektor pariwisata yang diharapkan mampu mendongkrak </w:t>
      </w:r>
      <w:r w:rsidR="0070229F" w:rsidRPr="00AC6C38">
        <w:t xml:space="preserve">jumlah pelancong dalam negeri maupun luar negeri yang berlibur ke Indonesia </w:t>
      </w:r>
      <w:r w:rsidRPr="00AC6C38">
        <w:rPr>
          <w:lang w:val="id-ID"/>
        </w:rPr>
        <w:t>dengan tujuan utamanya adalah mampu memberikan devisa tambahan bagi Negara serta mampu untuk meningkatkan taraf ekonomi di daerah dan masyarakat sekitar wilayah tempat wisata tersebut.</w:t>
      </w:r>
      <w:r w:rsidR="006E5E3F" w:rsidRPr="00AC6C38">
        <w:t xml:space="preserve"> </w:t>
      </w:r>
      <w:r w:rsidR="00E04C25" w:rsidRPr="00AC6C38">
        <w:t>Sektor pariwisata juga membangkitkan sektor penginapan seperti hotel bagi wisatawan domestik maupun mancanegara</w:t>
      </w:r>
      <w:r w:rsidRPr="00AC6C38">
        <w:rPr>
          <w:lang w:val="id-ID"/>
        </w:rPr>
        <w:t xml:space="preserve">, </w:t>
      </w:r>
      <w:r w:rsidR="00507227" w:rsidRPr="00AC6C38">
        <w:t>kesan baik</w:t>
      </w:r>
      <w:r w:rsidR="00460BD4" w:rsidRPr="00AC6C38">
        <w:t xml:space="preserve"> itulah yang sangat diharapkan</w:t>
      </w:r>
      <w:r w:rsidR="00507227" w:rsidRPr="00AC6C38">
        <w:t xml:space="preserve">  </w:t>
      </w:r>
      <w:r w:rsidRPr="00AC6C38">
        <w:rPr>
          <w:lang w:val="id-ID"/>
        </w:rPr>
        <w:t>agar kedepannya para wisatawan tadi menjadi ingin untuk terus kembali ke Indonesia dan menjadikan Indonesia sebagai destinasi utama tujuan pariwisata dunia.</w:t>
      </w:r>
      <w:r w:rsidR="00DE7A21" w:rsidRPr="00AC6C38">
        <w:rPr>
          <w:lang w:val="id-ID"/>
        </w:rPr>
        <w:t xml:space="preserve"> </w:t>
      </w:r>
      <w:r w:rsidRPr="00AC6C38">
        <w:rPr>
          <w:lang w:val="id-ID"/>
        </w:rPr>
        <w:t>Undang-Undang Nomor 10 Tahun 2009 tentang Kepariwisataan mengatur bahwa</w:t>
      </w:r>
      <w:r w:rsidR="003C15D6" w:rsidRPr="00AC6C38">
        <w:rPr>
          <w:lang w:val="id-ID"/>
        </w:rPr>
        <w:t>:</w:t>
      </w:r>
    </w:p>
    <w:p w14:paraId="3AC4A4E6" w14:textId="70CF3C18" w:rsidR="008E4D36" w:rsidRPr="00AC6C38" w:rsidRDefault="00227021" w:rsidP="00E50CE0">
      <w:pPr>
        <w:spacing w:line="276" w:lineRule="auto"/>
        <w:ind w:left="567" w:right="245"/>
        <w:jc w:val="both"/>
        <w:rPr>
          <w:iCs/>
          <w:lang w:val="id-ID"/>
        </w:rPr>
      </w:pPr>
      <w:r w:rsidRPr="00AC6C38">
        <w:rPr>
          <w:iCs/>
          <w:lang w:val="id-ID"/>
        </w:rPr>
        <w:t>“</w:t>
      </w:r>
      <w:r w:rsidR="00CA5BAD" w:rsidRPr="00AC6C38">
        <w:rPr>
          <w:iCs/>
          <w:lang w:val="id-ID"/>
        </w:rPr>
        <w:t>Usaha penyediaan akomodasi berupa kamar-kamar di dalam suatu bangunan, yang dapat dilengkapi dengan jasa pelayanan makan dan minum, kegiatan hiburan dan/atau fasilitas lainya secara harian dengan tujuan memperoleh keuntungan.”</w:t>
      </w:r>
    </w:p>
    <w:p w14:paraId="36020E6C" w14:textId="73A50DBD" w:rsidR="0070229F" w:rsidRPr="00AC6C38" w:rsidRDefault="00A3744D" w:rsidP="00E50CE0">
      <w:pPr>
        <w:spacing w:line="276" w:lineRule="auto"/>
        <w:ind w:right="245" w:firstLine="567"/>
        <w:jc w:val="both"/>
        <w:rPr>
          <w:noProof/>
          <w:lang w:val="id-ID"/>
        </w:rPr>
      </w:pPr>
      <w:r w:rsidRPr="00AC6C38">
        <w:t xml:space="preserve">Perkembangan globalisasi saat ini semakin maju </w:t>
      </w:r>
      <w:r w:rsidR="0070229F" w:rsidRPr="00AC6C38">
        <w:t xml:space="preserve">serta membantu meningkatkan tingkat perekonomian </w:t>
      </w:r>
      <w:r w:rsidRPr="00AC6C38">
        <w:t xml:space="preserve">di Indonesia. </w:t>
      </w:r>
      <w:r w:rsidR="00500D94" w:rsidRPr="00AC6C38">
        <w:t>“</w:t>
      </w:r>
      <w:r w:rsidRPr="00AC6C38">
        <w:t>Aspek pendukung perkembangan ekonomi terlihat dengan maraknya kegiatan jual-beli barang melalui media internet, sehingga menimbulkan banyak berdirinya perusahaan-perusahaan yang bergerak di bidang jasa pengangkutan barang dalam melaksanakan jual-beli barang tersebut</w:t>
      </w:r>
      <w:r w:rsidRPr="00AC6C38">
        <w:rPr>
          <w:noProof/>
        </w:rPr>
        <w:t xml:space="preserve"> </w:t>
      </w:r>
      <w:r w:rsidR="00A53603" w:rsidRPr="00AC6C38">
        <w:rPr>
          <w:noProof/>
        </w:rPr>
        <w:fldChar w:fldCharType="begin" w:fldLock="1"/>
      </w:r>
      <w:r w:rsidR="00794F2E" w:rsidRPr="00AC6C38">
        <w:rPr>
          <w:noProof/>
        </w:rPr>
        <w:instrText>ADDIN CSL_CITATION {"citationItems":[{"id":"ITEM-1","itemData":{"author":[{"dropping-particle":"","family":"A.M","given":"Yodo","non-dropping-particle":"","parse-names":false,"suffix":""}],"container-title":"Al-Balad: Journal of Constitutional Law","id":"ITEM-1","issued":{"date-parts":[["2004"]]},"number-of-pages":"42-45","publisher":"Raja Grafindo Persada","publisher-place":"Jakarta","title":"Hukum Perlindungan Konsumen","type":"book"},"uris":["http://www.mendeley.com/documents/?uuid=d234f64c-ad55-4971-9f2b-d3553bdbe60f"]}],"mendeley":{"formattedCitation":"(A.M, 2004)","plainTextFormattedCitation":"(A.M, 2004)","previouslyFormattedCitation":"(A.M, 2004)"},"properties":{"noteIndex":0},"schema":"https://github.com/citation-style-language/schema/raw/master/csl-citation.json"}</w:instrText>
      </w:r>
      <w:r w:rsidR="00A53603" w:rsidRPr="00AC6C38">
        <w:rPr>
          <w:noProof/>
        </w:rPr>
        <w:fldChar w:fldCharType="separate"/>
      </w:r>
      <w:r w:rsidR="00A53603" w:rsidRPr="00AC6C38">
        <w:rPr>
          <w:noProof/>
        </w:rPr>
        <w:t>(A.M, 2004)</w:t>
      </w:r>
      <w:r w:rsidR="00A53603" w:rsidRPr="00AC6C38">
        <w:rPr>
          <w:noProof/>
        </w:rPr>
        <w:fldChar w:fldCharType="end"/>
      </w:r>
      <w:r w:rsidR="00500D94" w:rsidRPr="00AC6C38">
        <w:rPr>
          <w:noProof/>
        </w:rPr>
        <w:t>”</w:t>
      </w:r>
      <w:r w:rsidR="00A53603" w:rsidRPr="00AC6C38">
        <w:rPr>
          <w:noProof/>
          <w:lang w:val="id-ID"/>
        </w:rPr>
        <w:t xml:space="preserve">. </w:t>
      </w:r>
      <w:r w:rsidR="0070229F" w:rsidRPr="00AC6C38">
        <w:rPr>
          <w:noProof/>
        </w:rPr>
        <w:t xml:space="preserve">Karena </w:t>
      </w:r>
      <w:r w:rsidR="009671BA" w:rsidRPr="00AC6C38">
        <w:rPr>
          <w:noProof/>
          <w:lang w:val="id-ID"/>
        </w:rPr>
        <w:t>terdapat</w:t>
      </w:r>
      <w:r w:rsidR="0070229F" w:rsidRPr="00AC6C38">
        <w:rPr>
          <w:noProof/>
        </w:rPr>
        <w:t xml:space="preserve"> kata sepakat </w:t>
      </w:r>
      <w:r w:rsidR="00587BA8" w:rsidRPr="00AC6C38">
        <w:rPr>
          <w:noProof/>
          <w:lang w:val="id-ID"/>
        </w:rPr>
        <w:t xml:space="preserve">yang terjadi </w:t>
      </w:r>
      <w:r w:rsidR="009671BA" w:rsidRPr="00AC6C38">
        <w:rPr>
          <w:noProof/>
          <w:lang w:val="id-ID"/>
        </w:rPr>
        <w:t>antar</w:t>
      </w:r>
      <w:r w:rsidR="00587BA8" w:rsidRPr="00AC6C38">
        <w:rPr>
          <w:noProof/>
          <w:lang w:val="id-ID"/>
        </w:rPr>
        <w:t xml:space="preserve"> kedua belah pihak, maka </w:t>
      </w:r>
      <w:r w:rsidR="009671BA" w:rsidRPr="00AC6C38">
        <w:rPr>
          <w:noProof/>
          <w:lang w:val="id-ID"/>
        </w:rPr>
        <w:t>timbul adanya perjanjian</w:t>
      </w:r>
      <w:r w:rsidR="00587BA8" w:rsidRPr="00AC6C38">
        <w:rPr>
          <w:noProof/>
          <w:lang w:val="id-ID"/>
        </w:rPr>
        <w:t xml:space="preserve">, dan </w:t>
      </w:r>
      <w:r w:rsidR="009671BA" w:rsidRPr="00AC6C38">
        <w:rPr>
          <w:noProof/>
          <w:lang w:val="id-ID"/>
        </w:rPr>
        <w:t>dalam perjanjian tersebut di</w:t>
      </w:r>
      <w:r w:rsidR="00587BA8" w:rsidRPr="00AC6C38">
        <w:rPr>
          <w:noProof/>
          <w:lang w:val="id-ID"/>
        </w:rPr>
        <w:t xml:space="preserve">anggap bahwa kedua belah pihak memiliki itikad baik untuk melaksanakan suatu kewajiban serta mendapatkan hak dari hal yang telah disepakati bersama. </w:t>
      </w:r>
    </w:p>
    <w:p w14:paraId="57531E59" w14:textId="11EC827B" w:rsidR="00587BA8" w:rsidRPr="00AC6C38" w:rsidRDefault="00587BA8" w:rsidP="00E50CE0">
      <w:pPr>
        <w:spacing w:line="276" w:lineRule="auto"/>
        <w:ind w:right="104" w:firstLine="567"/>
        <w:jc w:val="both"/>
        <w:rPr>
          <w:lang w:val="id-ID"/>
        </w:rPr>
      </w:pPr>
      <w:bookmarkStart w:id="1" w:name="_Hlk105356239"/>
      <w:r w:rsidRPr="00AC6C38">
        <w:rPr>
          <w:lang w:val="id-ID"/>
        </w:rPr>
        <w:t>Salah satu aspek yang paling penting dalam suatu kegaitan berbisnis adalah perjanjian</w:t>
      </w:r>
      <w:r w:rsidR="0051065E" w:rsidRPr="00AC6C38">
        <w:rPr>
          <w:lang w:val="id-ID"/>
        </w:rPr>
        <w:t>, b</w:t>
      </w:r>
      <w:r w:rsidRPr="00AC6C38">
        <w:rPr>
          <w:lang w:val="id-ID"/>
        </w:rPr>
        <w:t xml:space="preserve">aik </w:t>
      </w:r>
      <w:r w:rsidR="0051065E" w:rsidRPr="00AC6C38">
        <w:rPr>
          <w:lang w:val="id-ID"/>
        </w:rPr>
        <w:t xml:space="preserve">kegiatan berbisnis yang dilakukan </w:t>
      </w:r>
      <w:r w:rsidRPr="00AC6C38">
        <w:rPr>
          <w:lang w:val="id-ID"/>
        </w:rPr>
        <w:t>antar orang perorangan</w:t>
      </w:r>
      <w:r w:rsidR="0051065E" w:rsidRPr="00AC6C38">
        <w:rPr>
          <w:lang w:val="id-ID"/>
        </w:rPr>
        <w:t>, maupun</w:t>
      </w:r>
      <w:r w:rsidRPr="00AC6C38">
        <w:rPr>
          <w:lang w:val="id-ID"/>
        </w:rPr>
        <w:t xml:space="preserve"> badan hukum dalam negeri </w:t>
      </w:r>
      <w:r w:rsidR="0051065E" w:rsidRPr="00AC6C38">
        <w:rPr>
          <w:lang w:val="id-ID"/>
        </w:rPr>
        <w:t>dan</w:t>
      </w:r>
      <w:r w:rsidRPr="00AC6C38">
        <w:rPr>
          <w:lang w:val="id-ID"/>
        </w:rPr>
        <w:t xml:space="preserve"> luar negeri</w:t>
      </w:r>
      <w:r w:rsidR="0051065E" w:rsidRPr="00AC6C38">
        <w:rPr>
          <w:lang w:val="id-ID"/>
        </w:rPr>
        <w:t>. P</w:t>
      </w:r>
      <w:r w:rsidRPr="00AC6C38">
        <w:rPr>
          <w:lang w:val="id-ID"/>
        </w:rPr>
        <w:t xml:space="preserve">erjanjian </w:t>
      </w:r>
      <w:r w:rsidR="0051065E" w:rsidRPr="00AC6C38">
        <w:rPr>
          <w:lang w:val="id-ID"/>
        </w:rPr>
        <w:t xml:space="preserve">tetap dibutuhkan </w:t>
      </w:r>
      <w:r w:rsidRPr="00AC6C38">
        <w:rPr>
          <w:lang w:val="id-ID"/>
        </w:rPr>
        <w:t>untuk saling mengikat kedua belah pihak. Perjanjian ini lahir dari adanya kesepakatan yang mengikat kedua atau lebih pihak</w:t>
      </w:r>
      <w:r w:rsidR="00263F57" w:rsidRPr="00AC6C38">
        <w:rPr>
          <w:lang w:val="id-ID"/>
        </w:rPr>
        <w:t>. Terdapat asas yang mengikat pada perjsnjian ini</w:t>
      </w:r>
      <w:r w:rsidRPr="00AC6C38">
        <w:rPr>
          <w:lang w:val="id-ID"/>
        </w:rPr>
        <w:t xml:space="preserve">, salah satunya yaitu asas kebebasan berkontrak yang mana ditujukan untuk memberikan kebebasan mengenai isi kontrak yang akan </w:t>
      </w:r>
      <w:r w:rsidRPr="00AC6C38">
        <w:rPr>
          <w:lang w:val="id-ID"/>
        </w:rPr>
        <w:lastRenderedPageBreak/>
        <w:t xml:space="preserve">dituangkan kedua belah pihak dalam perjanjian yang mereka sepakati nantinya. Pengaturan asas ini ada dalam Pasal 1313 Kitab Undang-Undang Hukum Perdata (selanjutnya disebut KUHPer), asas ini wajib dipatuhi oleh kedua belah pihak yang saling mengikat, asalkan sudah sesuai dengan </w:t>
      </w:r>
      <w:r w:rsidR="00263F57" w:rsidRPr="00AC6C38">
        <w:rPr>
          <w:lang w:val="id-ID"/>
        </w:rPr>
        <w:t xml:space="preserve">ketentuan </w:t>
      </w:r>
      <w:r w:rsidRPr="00AC6C38">
        <w:rPr>
          <w:lang w:val="id-ID"/>
        </w:rPr>
        <w:t>Pasal 1320 KUHPer</w:t>
      </w:r>
      <w:r w:rsidR="00227021" w:rsidRPr="00AC6C38">
        <w:rPr>
          <w:lang w:val="id-ID"/>
        </w:rPr>
        <w:t xml:space="preserve">, </w:t>
      </w:r>
      <w:r w:rsidRPr="00AC6C38">
        <w:rPr>
          <w:lang w:val="id-ID"/>
        </w:rPr>
        <w:t xml:space="preserve">yaitu mengenai syarat sahnya suatu perjanjian. </w:t>
      </w:r>
    </w:p>
    <w:p w14:paraId="2AC028D4" w14:textId="1464D312" w:rsidR="00587BA8" w:rsidRPr="00AC6C38" w:rsidRDefault="00587BA8" w:rsidP="00E50CE0">
      <w:pPr>
        <w:spacing w:line="276" w:lineRule="auto"/>
        <w:ind w:right="104" w:firstLine="567"/>
        <w:jc w:val="both"/>
        <w:rPr>
          <w:lang w:val="id-ID"/>
        </w:rPr>
      </w:pPr>
      <w:r w:rsidRPr="00AC6C38">
        <w:rPr>
          <w:lang w:val="id-ID"/>
        </w:rPr>
        <w:t>Pengartian asas kebebasan berkontrak adalah untuk m</w:t>
      </w:r>
      <w:r w:rsidR="00EA3AEC" w:rsidRPr="00AC6C38">
        <w:rPr>
          <w:lang w:val="id-ID"/>
        </w:rPr>
        <w:t xml:space="preserve">emberikan adanya pemahaman bagi setiap orang untuk dapat melaksanakan perjanjian apapun dan bagi siapapun para pihaknya dengan dasaran kebebasan berkontrak yang sangat mengutamakan kesamaan derajat serta </w:t>
      </w:r>
      <w:r w:rsidR="00263F57" w:rsidRPr="00AC6C38">
        <w:rPr>
          <w:lang w:val="id-ID"/>
        </w:rPr>
        <w:t>ke</w:t>
      </w:r>
      <w:r w:rsidR="00EA3AEC" w:rsidRPr="00AC6C38">
        <w:rPr>
          <w:lang w:val="id-ID"/>
        </w:rPr>
        <w:t>bebas</w:t>
      </w:r>
      <w:r w:rsidR="00263F57" w:rsidRPr="00AC6C38">
        <w:rPr>
          <w:lang w:val="id-ID"/>
        </w:rPr>
        <w:t>an</w:t>
      </w:r>
      <w:r w:rsidR="00EA3AEC" w:rsidRPr="00AC6C38">
        <w:rPr>
          <w:lang w:val="id-ID"/>
        </w:rPr>
        <w:t xml:space="preserve"> dalam membuat isi perjanjian tersebut. Karena kesamaan tingkat derajat pada setiap manusia berlaku dalam pandangan hukum yang membuat semua orang dipandang sama</w:t>
      </w:r>
      <w:r w:rsidR="00715F50" w:rsidRPr="00AC6C38">
        <w:rPr>
          <w:lang w:val="id-ID"/>
        </w:rPr>
        <w:t>. H</w:t>
      </w:r>
      <w:r w:rsidR="00EA3AEC" w:rsidRPr="00AC6C38">
        <w:rPr>
          <w:lang w:val="id-ID"/>
        </w:rPr>
        <w:t xml:space="preserve">al inilah yang disebut </w:t>
      </w:r>
      <w:r w:rsidR="00715F50" w:rsidRPr="00AC6C38">
        <w:rPr>
          <w:lang w:val="id-ID"/>
        </w:rPr>
        <w:t xml:space="preserve">dengan </w:t>
      </w:r>
      <w:r w:rsidR="00EA3AEC" w:rsidRPr="00AC6C38">
        <w:rPr>
          <w:lang w:val="id-ID"/>
        </w:rPr>
        <w:t>persamaan hak. Pada asas kebebasan berkontrak in</w:t>
      </w:r>
      <w:r w:rsidR="00715F50" w:rsidRPr="00AC6C38">
        <w:rPr>
          <w:lang w:val="id-ID"/>
        </w:rPr>
        <w:t>i, yang digunakan adalah</w:t>
      </w:r>
      <w:r w:rsidR="00EA3AEC" w:rsidRPr="00AC6C38">
        <w:rPr>
          <w:lang w:val="id-ID"/>
        </w:rPr>
        <w:t xml:space="preserve"> suatu tinjauan dari sistem terbuka </w:t>
      </w:r>
      <w:r w:rsidR="00EA3AEC" w:rsidRPr="00AC6C38">
        <w:rPr>
          <w:i/>
          <w:lang w:val="id-ID"/>
        </w:rPr>
        <w:t xml:space="preserve">(open system) </w:t>
      </w:r>
      <w:r w:rsidR="00EA3AEC" w:rsidRPr="00AC6C38">
        <w:rPr>
          <w:lang w:val="id-ID"/>
        </w:rPr>
        <w:t xml:space="preserve">dari </w:t>
      </w:r>
      <w:r w:rsidR="00715F50" w:rsidRPr="00AC6C38">
        <w:rPr>
          <w:lang w:val="id-ID"/>
        </w:rPr>
        <w:t>suatu hukum perjanjian</w:t>
      </w:r>
      <w:r w:rsidR="00EA3AEC" w:rsidRPr="00AC6C38">
        <w:rPr>
          <w:lang w:val="id-ID"/>
        </w:rPr>
        <w:t xml:space="preserve">. Pada perjanjian tidak selalu mempunyai sifat “memaksa”, yang menyebabkan bahwa para pihak dapat melakukan penyesuaian aturan yang telah dibuatnya. Sedangkan asas kebebasan berkontrak mempunyai kekuatan yang sama dari KUHPer, </w:t>
      </w:r>
      <w:r w:rsidR="00865F55" w:rsidRPr="00AC6C38">
        <w:rPr>
          <w:lang w:val="id-ID"/>
        </w:rPr>
        <w:t xml:space="preserve">bahwa </w:t>
      </w:r>
      <w:r w:rsidR="00EA3AEC" w:rsidRPr="00AC6C38">
        <w:rPr>
          <w:lang w:val="id-ID"/>
        </w:rPr>
        <w:t>para pihak bebas membuat perjanjian asalkan tidak melanggar dan bertentengan dengan kesusilaan, ketertiban umum serta tidak melanggar Undang-Undang. Dasar hukum pada asas ini tercantum dalam “Pasal 1338 ayat (1) KUHPer, semua perjanjian yang dibuat secara sah berlaku sebagai undang-undang bagi mereka yang membuatnya</w:t>
      </w:r>
      <w:r w:rsidR="00AC6C38">
        <w:rPr>
          <w:lang w:val="id-ID"/>
        </w:rPr>
        <w:t>.</w:t>
      </w:r>
      <w:r w:rsidR="00EA3AEC" w:rsidRPr="00AC6C38">
        <w:rPr>
          <w:lang w:val="id-ID"/>
        </w:rPr>
        <w:t>”</w:t>
      </w:r>
    </w:p>
    <w:bookmarkEnd w:id="1"/>
    <w:p w14:paraId="36DCC4AF" w14:textId="373919AF" w:rsidR="004E096B" w:rsidRPr="00AC6C38" w:rsidRDefault="00ED5D40" w:rsidP="00E50CE0">
      <w:pPr>
        <w:spacing w:line="276" w:lineRule="auto"/>
        <w:ind w:right="104" w:firstLine="567"/>
        <w:jc w:val="both"/>
      </w:pPr>
      <w:r w:rsidRPr="00AC6C38">
        <w:t xml:space="preserve">Pada perjanjian seperti ini akan berpengaruh pada adanya kebebasan berkontrak yang mana diatur dalam </w:t>
      </w:r>
      <w:r w:rsidR="00EA3AEC" w:rsidRPr="00AC6C38">
        <w:rPr>
          <w:lang w:val="id-ID"/>
        </w:rPr>
        <w:t>“</w:t>
      </w:r>
      <w:r w:rsidRPr="00AC6C38">
        <w:t xml:space="preserve">Pasal 1 angka 10 </w:t>
      </w:r>
      <w:r w:rsidR="003B5A7C" w:rsidRPr="00AC6C38">
        <w:t>Undang-Undang Nomor 8 Tahun 1999 tentang Perli</w:t>
      </w:r>
      <w:r w:rsidR="00EE3488" w:rsidRPr="00AC6C38">
        <w:t>ndungan Konsumen</w:t>
      </w:r>
      <w:r w:rsidR="0046383D" w:rsidRPr="00AC6C38">
        <w:rPr>
          <w:lang w:val="id-ID"/>
        </w:rPr>
        <w:t xml:space="preserve"> (selanjutnya disebut </w:t>
      </w:r>
      <w:r w:rsidR="00EE3488" w:rsidRPr="00AC6C38">
        <w:t>UUPK)</w:t>
      </w:r>
      <w:r w:rsidR="0046383D" w:rsidRPr="00AC6C38">
        <w:rPr>
          <w:lang w:val="id-ID"/>
        </w:rPr>
        <w:t xml:space="preserve"> bahwa</w:t>
      </w:r>
      <w:r w:rsidR="00325932" w:rsidRPr="00AC6C38">
        <w:rPr>
          <w:lang w:val="id-ID"/>
        </w:rPr>
        <w:t>,</w:t>
      </w:r>
    </w:p>
    <w:p w14:paraId="4E724FF4" w14:textId="249B31DB" w:rsidR="00ED5D40" w:rsidRPr="00AC6C38" w:rsidRDefault="004E096B" w:rsidP="00E50CE0">
      <w:pPr>
        <w:spacing w:line="276" w:lineRule="auto"/>
        <w:ind w:left="567" w:right="245"/>
        <w:jc w:val="both"/>
      </w:pPr>
      <w:r w:rsidRPr="00AC6C38">
        <w:rPr>
          <w:lang w:val="id-ID"/>
        </w:rPr>
        <w:t>K</w:t>
      </w:r>
      <w:r w:rsidR="00EE3488" w:rsidRPr="00AC6C38">
        <w:t>lausula baku adalah setiap aturan atau ketentuan dan syarat-syarat yang telah dipersiapkan dan ditetapkan terlebih dahulu secara sepihak oleh pelaku usaha yang dituangkan dalam suatu dokumen dan/atau perjanjian yang mengikat dan wajib dipenuhi oleh konsumen</w:t>
      </w:r>
      <w:r w:rsidR="003B5A7C" w:rsidRPr="00AC6C38">
        <w:t xml:space="preserve">”. </w:t>
      </w:r>
    </w:p>
    <w:p w14:paraId="7C78A987" w14:textId="49346111" w:rsidR="001C0FE2" w:rsidRPr="00AC6C38" w:rsidRDefault="00FB5A74" w:rsidP="00E50CE0">
      <w:pPr>
        <w:spacing w:line="276" w:lineRule="auto"/>
        <w:ind w:right="104"/>
        <w:jc w:val="both"/>
        <w:rPr>
          <w:lang w:val="id-ID"/>
        </w:rPr>
      </w:pPr>
      <w:r w:rsidRPr="00AC6C38">
        <w:t xml:space="preserve">Klausula baku sering kali hanya berat sebelah, </w:t>
      </w:r>
      <w:r w:rsidR="0046383D" w:rsidRPr="00AC6C38">
        <w:rPr>
          <w:lang w:val="id-ID"/>
        </w:rPr>
        <w:t xml:space="preserve">karena </w:t>
      </w:r>
      <w:r w:rsidRPr="00AC6C38">
        <w:t xml:space="preserve">telah dipersiapkan </w:t>
      </w:r>
      <w:r w:rsidR="00EA3AEC" w:rsidRPr="00AC6C38">
        <w:rPr>
          <w:lang w:val="id-ID"/>
        </w:rPr>
        <w:t>salah satu pihak saja</w:t>
      </w:r>
      <w:r w:rsidR="001C0FE2" w:rsidRPr="00AC6C38">
        <w:rPr>
          <w:lang w:val="id-ID"/>
        </w:rPr>
        <w:t xml:space="preserve"> yang sering kali dibuat oleh pihak pertama, hal ini menyebabkan pihak lainnya keberatan karena terdapat klausul-klausul yang sering kali memberatkan dan tidak ada keseimbangan kedudukan bagi kedua belah pihak. </w:t>
      </w:r>
      <w:r w:rsidR="00500D94" w:rsidRPr="00AC6C38">
        <w:t>“</w:t>
      </w:r>
      <w:r w:rsidR="003B5A7C" w:rsidRPr="00AC6C38">
        <w:t>Di</w:t>
      </w:r>
      <w:r w:rsidR="00AC0785" w:rsidRPr="00AC6C38">
        <w:rPr>
          <w:lang w:val="id-ID"/>
        </w:rPr>
        <w:t xml:space="preserve"> </w:t>
      </w:r>
      <w:r w:rsidR="003B5A7C" w:rsidRPr="00AC6C38">
        <w:t xml:space="preserve">dalam suatu perjanjian baku tercantum klausula-klausula tertentu </w:t>
      </w:r>
      <w:r w:rsidR="003B5A7C" w:rsidRPr="00AC6C38">
        <w:lastRenderedPageBreak/>
        <w:t>yang dilakukan oleh pihak-pihak yang memiliki kedudukan yang lebih kuat yang mengakibatkan sangat merugikan pihak yang lemah yang dapat menimbulkan penyalahgunaan keadaan</w:t>
      </w:r>
      <w:r w:rsidR="003B5A7C" w:rsidRPr="00AC6C38">
        <w:rPr>
          <w:noProof/>
        </w:rPr>
        <w:t xml:space="preserve"> </w:t>
      </w:r>
      <w:r w:rsidR="004122F8" w:rsidRPr="00AC6C38">
        <w:rPr>
          <w:noProof/>
        </w:rPr>
        <w:fldChar w:fldCharType="begin" w:fldLock="1"/>
      </w:r>
      <w:r w:rsidR="00794F2E" w:rsidRPr="00AC6C38">
        <w:rPr>
          <w:noProof/>
        </w:rPr>
        <w:instrText>ADDIN CSL_CITATION {"citationItems":[{"id":"ITEM-1","itemData":{"author":[{"dropping-particle":"","family":"A.M","given":"Yodo","non-dropping-particle":"","parse-names":false,"suffix":""}],"container-title":"Al-Balad: Journal of Constitutional Law","id":"ITEM-1","issued":{"date-parts":[["2004"]]},"number-of-pages":"42-45","publisher":"Raja Grafindo Persada","publisher-place":"Jakarta","title":"Hukum Perlindungan Konsumen","type":"book"},"uris":["http://www.mendeley.com/documents/?uuid=d234f64c-ad55-4971-9f2b-d3553bdbe60f"]}],"mendeley":{"formattedCitation":"(A.M, 2004)","manualFormatting":"(A.M, 2004:72)","plainTextFormattedCitation":"(A.M, 2004)","previouslyFormattedCitation":"(A.M, 2004)"},"properties":{"noteIndex":0},"schema":"https://github.com/citation-style-language/schema/raw/master/csl-citation.json"}</w:instrText>
      </w:r>
      <w:r w:rsidR="004122F8" w:rsidRPr="00AC6C38">
        <w:rPr>
          <w:noProof/>
        </w:rPr>
        <w:fldChar w:fldCharType="separate"/>
      </w:r>
      <w:r w:rsidR="004122F8" w:rsidRPr="00AC6C38">
        <w:rPr>
          <w:noProof/>
        </w:rPr>
        <w:t>(A.M, 2004</w:t>
      </w:r>
      <w:r w:rsidR="00D23E8A" w:rsidRPr="00AC6C38">
        <w:rPr>
          <w:noProof/>
          <w:lang w:val="id-ID"/>
        </w:rPr>
        <w:t>:72</w:t>
      </w:r>
      <w:r w:rsidR="004122F8" w:rsidRPr="00AC6C38">
        <w:rPr>
          <w:noProof/>
        </w:rPr>
        <w:t>)</w:t>
      </w:r>
      <w:r w:rsidR="004122F8" w:rsidRPr="00AC6C38">
        <w:rPr>
          <w:noProof/>
        </w:rPr>
        <w:fldChar w:fldCharType="end"/>
      </w:r>
      <w:r w:rsidR="00500D94" w:rsidRPr="00AC6C38">
        <w:rPr>
          <w:noProof/>
        </w:rPr>
        <w:t>”</w:t>
      </w:r>
      <w:r w:rsidR="0046383D" w:rsidRPr="00AC6C38">
        <w:rPr>
          <w:noProof/>
          <w:lang w:val="id-ID"/>
        </w:rPr>
        <w:t>.</w:t>
      </w:r>
      <w:r w:rsidR="00325932" w:rsidRPr="00AC6C38">
        <w:rPr>
          <w:noProof/>
          <w:lang w:val="id-ID"/>
        </w:rPr>
        <w:t xml:space="preserve"> </w:t>
      </w:r>
      <w:r w:rsidR="008320CC" w:rsidRPr="00AC6C38">
        <w:rPr>
          <w:lang w:val="id-ID"/>
        </w:rPr>
        <w:t xml:space="preserve">Klausula baku yang bersifat berat sebelah tersebut seringkali dapat merugikan konsumen, dimana </w:t>
      </w:r>
      <w:r w:rsidR="00904326" w:rsidRPr="00AC6C38">
        <w:rPr>
          <w:lang w:val="id-ID"/>
        </w:rPr>
        <w:t xml:space="preserve">apabila konsumen hendak melakukan perjanjian dengan pelaku usaha, </w:t>
      </w:r>
      <w:r w:rsidR="008320CC" w:rsidRPr="00AC6C38">
        <w:rPr>
          <w:lang w:val="id-ID"/>
        </w:rPr>
        <w:t xml:space="preserve">konsumen tidak memiliki pilihan lain selain menyetujui </w:t>
      </w:r>
      <w:r w:rsidR="001C0FE2" w:rsidRPr="00AC6C38">
        <w:rPr>
          <w:lang w:val="id-ID"/>
        </w:rPr>
        <w:t xml:space="preserve">perjanjian baku tersebut yang memang telah dibuat oleh pihak pertama atau pelaku usahanya. </w:t>
      </w:r>
    </w:p>
    <w:p w14:paraId="3EBC7376" w14:textId="48E82B87" w:rsidR="005F0BC4" w:rsidRPr="00AC6C38" w:rsidRDefault="001C0FE2" w:rsidP="00E50CE0">
      <w:pPr>
        <w:spacing w:line="276" w:lineRule="auto"/>
        <w:ind w:right="104" w:firstLine="567"/>
        <w:jc w:val="both"/>
        <w:rPr>
          <w:lang w:val="id-ID"/>
        </w:rPr>
      </w:pPr>
      <w:r w:rsidRPr="00AC6C38">
        <w:rPr>
          <w:lang w:val="id-ID"/>
        </w:rPr>
        <w:t xml:space="preserve">Terdapat sebuah dasar yang menimbulkan adanya perjanjian baku yang disebabkan adanya keadaan sosial ekonomi. </w:t>
      </w:r>
      <w:r w:rsidR="00500D94" w:rsidRPr="00AC6C38">
        <w:t>“</w:t>
      </w:r>
      <w:r w:rsidR="005F0BC4" w:rsidRPr="00AC6C38">
        <w:t>Perusahaan besar dan perusahaan pemerintah mengadakan kerjasama dalam suatu organisasi dan untuk kepentingan mereka, ditentukan syarat-syarat secara sepihak</w:t>
      </w:r>
      <w:r w:rsidR="005F0BC4" w:rsidRPr="00AC6C38">
        <w:rPr>
          <w:noProof/>
        </w:rPr>
        <w:t xml:space="preserve"> (Rahman, 2000)</w:t>
      </w:r>
      <w:r w:rsidR="00500D94" w:rsidRPr="00AC6C38">
        <w:rPr>
          <w:noProof/>
        </w:rPr>
        <w:t>”</w:t>
      </w:r>
      <w:r w:rsidR="005F0BC4" w:rsidRPr="00AC6C38">
        <w:t>.</w:t>
      </w:r>
      <w:r w:rsidRPr="00AC6C38">
        <w:rPr>
          <w:lang w:val="id-ID"/>
        </w:rPr>
        <w:t xml:space="preserve"> </w:t>
      </w:r>
      <w:r w:rsidR="003555C5" w:rsidRPr="00AC6C38">
        <w:rPr>
          <w:lang w:val="id-ID"/>
        </w:rPr>
        <w:t>Pihak pertama mempunyai kedudukan yang lebih tinggi karena membuat isi perjanjian tersebut</w:t>
      </w:r>
      <w:r w:rsidR="007C1957" w:rsidRPr="00AC6C38">
        <w:rPr>
          <w:lang w:val="id-ID"/>
        </w:rPr>
        <w:t>,</w:t>
      </w:r>
      <w:r w:rsidR="003555C5" w:rsidRPr="00AC6C38">
        <w:rPr>
          <w:lang w:val="id-ID"/>
        </w:rPr>
        <w:t xml:space="preserve"> sedangkan pihak kedua hanya menerima perjanjian yang sudah jadi dan tinggal menandatangani perjanjian tersebut, </w:t>
      </w:r>
      <w:r w:rsidR="00500D94" w:rsidRPr="00AC6C38">
        <w:t>“</w:t>
      </w:r>
      <w:r w:rsidR="005F0BC4" w:rsidRPr="00AC6C38">
        <w:t xml:space="preserve">Pemakaian perjanjian baku tersebut sedikit banyaknya telah menunjukkan perkembangan yang sangat membahayakan kepentingan masyarakat, terlebih dengan mengingat bahwa awamnya masyarakat terhadap aspek hukum secara umum dan khususnya pada aspek hukum perjanjian </w:t>
      </w:r>
      <w:r w:rsidR="005F0BC4" w:rsidRPr="00AC6C38">
        <w:rPr>
          <w:noProof/>
        </w:rPr>
        <w:t xml:space="preserve"> </w:t>
      </w:r>
      <w:r w:rsidR="005F0BC4" w:rsidRPr="00AC6C38">
        <w:rPr>
          <w:noProof/>
        </w:rPr>
        <w:fldChar w:fldCharType="begin" w:fldLock="1"/>
      </w:r>
      <w:r w:rsidR="005F0BC4" w:rsidRPr="00AC6C38">
        <w:rPr>
          <w:noProof/>
        </w:rPr>
        <w:instrText>ADDIN CSL_CITATION {"citationItems":[{"id":"ITEM-1","itemData":{"DOI":"10.33541/tora.v4i1.1167","ISSN":"2442-8019","abstract":"Abstract Enforcement of a balcu agreement in the practice of daily economic life is a necessity that is non-negotiable and its validity is based on the principle of freedom of contract that exists in Article 1338 paragraph (1) of the Civil Code. In an effort to provide protection for consumers in the application of standard agreements, UU No. 18 of 1999 concerning Consumer Protection has set such standard agreement terms that can be enforced in practice with the threat of cancellation if the conditions are not met, including standard agreements in practice may not contain exoneration calls or clauses that divert and / or release responsibility replied the business man. In judicial practice, there are a number of jurisprudences who have canceled the exoneration clause which frees the liability of the business actor and transfers it to the consumer. This is intended as a form of granting legal protection to consumers in court decisions in relation to the application of standard agreements in society. Keyword : standard agreement; consumer protection; legal protection.","author":[{"dropping-particle":"","family":"Panjaitan","given":"Hulman","non-dropping-particle":"","parse-names":false,"suffix":""}],"container-title":"To-Ra","id":"ITEM-1","issue":"1","issued":{"date-parts":[["2018"]]},"page":"1","title":"Pemberlakuan Perjanjian Baku Dan Perlindungan Terhadap Konsumen","type":"article-journal","volume":"4"},"uris":["http://www.mendeley.com/documents/?uuid=c44efa45-9cd0-4936-a9d2-98dfbd9bab40"]}],"mendeley":{"formattedCitation":"(Panjaitan, 2018)","plainTextFormattedCitation":"(Panjaitan, 2018)","previouslyFormattedCitation":"(Panjaitan, 2018)"},"properties":{"noteIndex":0},"schema":"https://github.com/citation-style-language/schema/raw/master/csl-citation.json"}</w:instrText>
      </w:r>
      <w:r w:rsidR="005F0BC4" w:rsidRPr="00AC6C38">
        <w:rPr>
          <w:noProof/>
        </w:rPr>
        <w:fldChar w:fldCharType="separate"/>
      </w:r>
      <w:r w:rsidR="005F0BC4" w:rsidRPr="00AC6C38">
        <w:rPr>
          <w:noProof/>
        </w:rPr>
        <w:t>(Panjaitan, 2018)</w:t>
      </w:r>
      <w:r w:rsidR="005F0BC4" w:rsidRPr="00AC6C38">
        <w:rPr>
          <w:noProof/>
        </w:rPr>
        <w:fldChar w:fldCharType="end"/>
      </w:r>
      <w:r w:rsidR="00500D94" w:rsidRPr="00AC6C38">
        <w:rPr>
          <w:noProof/>
        </w:rPr>
        <w:t>”</w:t>
      </w:r>
      <w:r w:rsidR="005F0BC4" w:rsidRPr="00AC6C38">
        <w:rPr>
          <w:noProof/>
        </w:rPr>
        <w:t>.</w:t>
      </w:r>
    </w:p>
    <w:p w14:paraId="41B908A3" w14:textId="1D9D7A43" w:rsidR="00F158EC" w:rsidRPr="00AC6C38" w:rsidRDefault="00F158EC" w:rsidP="00E50CE0">
      <w:pPr>
        <w:spacing w:line="276" w:lineRule="auto"/>
        <w:ind w:firstLine="567"/>
        <w:jc w:val="both"/>
        <w:rPr>
          <w:lang w:val="id-ID"/>
        </w:rPr>
      </w:pPr>
      <w:r w:rsidRPr="00AC6C38">
        <w:rPr>
          <w:lang w:val="id-ID"/>
        </w:rPr>
        <w:t>Hotel merupakan sebuah usaha jasa yang menjadi sarana pendukung kegiata</w:t>
      </w:r>
      <w:r w:rsidR="003F2EEF" w:rsidRPr="00AC6C38">
        <w:rPr>
          <w:lang w:val="id-ID"/>
        </w:rPr>
        <w:t>n</w:t>
      </w:r>
      <w:r w:rsidRPr="00AC6C38">
        <w:rPr>
          <w:lang w:val="id-ID"/>
        </w:rPr>
        <w:t xml:space="preserve"> pariwisata</w:t>
      </w:r>
      <w:r w:rsidR="003F2EEF" w:rsidRPr="00AC6C38">
        <w:rPr>
          <w:lang w:val="id-ID"/>
        </w:rPr>
        <w:t>,</w:t>
      </w:r>
      <w:r w:rsidRPr="00AC6C38">
        <w:rPr>
          <w:lang w:val="id-ID"/>
        </w:rPr>
        <w:t xml:space="preserve"> baik itu di kawasan pariwisata ataupun </w:t>
      </w:r>
      <w:r w:rsidR="003555C5" w:rsidRPr="00AC6C38">
        <w:rPr>
          <w:lang w:val="id-ID"/>
        </w:rPr>
        <w:t xml:space="preserve">penginapan seperti </w:t>
      </w:r>
      <w:r w:rsidR="003555C5" w:rsidRPr="00AC6C38">
        <w:rPr>
          <w:i/>
          <w:iCs/>
          <w:lang w:val="id-ID"/>
        </w:rPr>
        <w:t>cottage</w:t>
      </w:r>
      <w:r w:rsidR="003555C5" w:rsidRPr="00AC6C38">
        <w:rPr>
          <w:lang w:val="id-ID"/>
        </w:rPr>
        <w:t xml:space="preserve">, </w:t>
      </w:r>
      <w:r w:rsidR="003555C5" w:rsidRPr="00AC6C38">
        <w:rPr>
          <w:i/>
          <w:iCs/>
          <w:lang w:val="id-ID"/>
        </w:rPr>
        <w:t>villa</w:t>
      </w:r>
      <w:r w:rsidR="003555C5" w:rsidRPr="00AC6C38">
        <w:rPr>
          <w:lang w:val="id-ID"/>
        </w:rPr>
        <w:t>, hotel</w:t>
      </w:r>
      <w:r w:rsidR="00F35747" w:rsidRPr="00AC6C38">
        <w:rPr>
          <w:lang w:val="id-ID"/>
        </w:rPr>
        <w:t xml:space="preserve"> dan </w:t>
      </w:r>
      <w:r w:rsidR="003555C5" w:rsidRPr="00AC6C38">
        <w:rPr>
          <w:lang w:val="id-ID"/>
        </w:rPr>
        <w:t>apartemen yang berada di kota besar untuk kawasan bisnis</w:t>
      </w:r>
      <w:r w:rsidR="00F35747" w:rsidRPr="00AC6C38">
        <w:rPr>
          <w:lang w:val="id-ID"/>
        </w:rPr>
        <w:t>. S</w:t>
      </w:r>
      <w:r w:rsidRPr="00AC6C38">
        <w:rPr>
          <w:lang w:val="id-ID"/>
        </w:rPr>
        <w:t>emakin banyaknya industri perhotelan yang tumbuh di Indonesia, menjadikan setiap hotel harus dapat bekerjasama d</w:t>
      </w:r>
      <w:r w:rsidR="009812E9" w:rsidRPr="00AC6C38">
        <w:rPr>
          <w:lang w:val="id-ID"/>
        </w:rPr>
        <w:t>engan</w:t>
      </w:r>
      <w:r w:rsidRPr="00AC6C38">
        <w:rPr>
          <w:lang w:val="id-ID"/>
        </w:rPr>
        <w:t xml:space="preserve"> industri-industri lain seperti </w:t>
      </w:r>
      <w:r w:rsidRPr="00AC6C38">
        <w:rPr>
          <w:i/>
          <w:lang w:val="id-ID"/>
        </w:rPr>
        <w:t xml:space="preserve">laundry, supplier </w:t>
      </w:r>
      <w:r w:rsidRPr="00AC6C38">
        <w:rPr>
          <w:iCs/>
          <w:lang w:val="id-ID"/>
        </w:rPr>
        <w:t>bahan</w:t>
      </w:r>
      <w:r w:rsidRPr="00AC6C38">
        <w:rPr>
          <w:i/>
          <w:lang w:val="id-ID"/>
        </w:rPr>
        <w:t xml:space="preserve"> </w:t>
      </w:r>
      <w:r w:rsidRPr="00AC6C38">
        <w:rPr>
          <w:iCs/>
          <w:lang w:val="id-ID"/>
        </w:rPr>
        <w:t>pokok</w:t>
      </w:r>
      <w:r w:rsidRPr="00AC6C38">
        <w:rPr>
          <w:i/>
          <w:lang w:val="id-ID"/>
        </w:rPr>
        <w:t xml:space="preserve"> </w:t>
      </w:r>
      <w:r w:rsidRPr="00AC6C38">
        <w:rPr>
          <w:iCs/>
          <w:lang w:val="id-ID"/>
        </w:rPr>
        <w:t>untuk</w:t>
      </w:r>
      <w:r w:rsidRPr="00AC6C38">
        <w:rPr>
          <w:i/>
          <w:lang w:val="id-ID"/>
        </w:rPr>
        <w:t xml:space="preserve"> </w:t>
      </w:r>
      <w:r w:rsidRPr="00AC6C38">
        <w:rPr>
          <w:iCs/>
          <w:lang w:val="id-ID"/>
        </w:rPr>
        <w:t>memasak</w:t>
      </w:r>
      <w:r w:rsidRPr="00AC6C38">
        <w:rPr>
          <w:i/>
          <w:lang w:val="id-ID"/>
        </w:rPr>
        <w:t xml:space="preserve">, </w:t>
      </w:r>
      <w:r w:rsidRPr="00AC6C38">
        <w:rPr>
          <w:iCs/>
          <w:lang w:val="id-ID"/>
        </w:rPr>
        <w:t>jasa</w:t>
      </w:r>
      <w:r w:rsidRPr="00AC6C38">
        <w:rPr>
          <w:i/>
          <w:lang w:val="id-ID"/>
        </w:rPr>
        <w:t xml:space="preserve"> </w:t>
      </w:r>
      <w:r w:rsidRPr="00AC6C38">
        <w:rPr>
          <w:iCs/>
          <w:lang w:val="id-ID"/>
        </w:rPr>
        <w:t>transportasi</w:t>
      </w:r>
      <w:r w:rsidRPr="00AC6C38">
        <w:rPr>
          <w:i/>
          <w:lang w:val="id-ID"/>
        </w:rPr>
        <w:t xml:space="preserve"> </w:t>
      </w:r>
      <w:r w:rsidRPr="00AC6C38">
        <w:rPr>
          <w:lang w:val="id-ID"/>
        </w:rPr>
        <w:t xml:space="preserve">dan juga jasa </w:t>
      </w:r>
      <w:r w:rsidRPr="00AC6C38">
        <w:rPr>
          <w:i/>
          <w:lang w:val="id-ID"/>
        </w:rPr>
        <w:t xml:space="preserve">online travel </w:t>
      </w:r>
      <w:r w:rsidRPr="00AC6C38">
        <w:rPr>
          <w:i/>
          <w:iCs/>
          <w:lang w:val="id-ID"/>
        </w:rPr>
        <w:t>agent</w:t>
      </w:r>
      <w:r w:rsidRPr="00AC6C38">
        <w:rPr>
          <w:lang w:val="id-ID"/>
        </w:rPr>
        <w:t xml:space="preserve"> yang masih memiliki keterkaitan dengan dirinya agar dapat terus bertahan dan memberikan harga yang kompetitif sebagai pilihan para wisatawan yang datang.</w:t>
      </w:r>
    </w:p>
    <w:p w14:paraId="728D27C8" w14:textId="77777777" w:rsidR="00F158EC" w:rsidRPr="00AC6C38" w:rsidRDefault="00094A34" w:rsidP="00E50CE0">
      <w:pPr>
        <w:spacing w:line="276" w:lineRule="auto"/>
        <w:ind w:right="245" w:firstLine="567"/>
        <w:jc w:val="both"/>
        <w:rPr>
          <w:lang w:val="id-ID"/>
        </w:rPr>
      </w:pPr>
      <w:r w:rsidRPr="00AC6C38">
        <w:rPr>
          <w:lang w:val="id-ID"/>
        </w:rPr>
        <w:t>Dengan adanya</w:t>
      </w:r>
      <w:r w:rsidR="00F158EC" w:rsidRPr="00AC6C38">
        <w:rPr>
          <w:lang w:val="id-ID"/>
        </w:rPr>
        <w:t xml:space="preserve"> kerjasam</w:t>
      </w:r>
      <w:r w:rsidRPr="00AC6C38">
        <w:t>a</w:t>
      </w:r>
      <w:r w:rsidR="00F158EC" w:rsidRPr="00AC6C38">
        <w:rPr>
          <w:lang w:val="id-ID"/>
        </w:rPr>
        <w:t xml:space="preserve"> dari industri-industri tersebut di</w:t>
      </w:r>
      <w:r w:rsidR="00DE5569" w:rsidRPr="00AC6C38">
        <w:rPr>
          <w:lang w:val="id-ID"/>
        </w:rPr>
        <w:t xml:space="preserve"> </w:t>
      </w:r>
      <w:r w:rsidR="00F158EC" w:rsidRPr="00AC6C38">
        <w:rPr>
          <w:lang w:val="id-ID"/>
        </w:rPr>
        <w:t xml:space="preserve">atas, maka diharapkan dapat memberikan nilai tersendiri yang memiliki arti penting bagi kemajuan sektor industri jasa perhotelan yang sudah ada sebelumnya. Kerjasama hotel dengan pihak luar yang memiliki pengaruh cukup besar bagi perkembangan hotel adalah kerjasama antara perhotelan dengan </w:t>
      </w:r>
      <w:r w:rsidR="00F158EC" w:rsidRPr="00AC6C38">
        <w:rPr>
          <w:i/>
          <w:lang w:val="id-ID"/>
        </w:rPr>
        <w:t>online travel agent</w:t>
      </w:r>
      <w:r w:rsidR="00F158EC" w:rsidRPr="00AC6C38">
        <w:rPr>
          <w:lang w:val="id-ID"/>
        </w:rPr>
        <w:t xml:space="preserve"> atau yang lebih dikenal dengan aplikasi </w:t>
      </w:r>
      <w:r w:rsidR="00F158EC" w:rsidRPr="00AC6C38">
        <w:rPr>
          <w:i/>
          <w:lang w:val="id-ID"/>
        </w:rPr>
        <w:t>booking hotel online</w:t>
      </w:r>
      <w:r w:rsidR="00ED657F" w:rsidRPr="00AC6C38">
        <w:rPr>
          <w:lang w:val="id-ID"/>
        </w:rPr>
        <w:t>. K</w:t>
      </w:r>
      <w:r w:rsidR="00F158EC" w:rsidRPr="00AC6C38">
        <w:rPr>
          <w:lang w:val="id-ID"/>
        </w:rPr>
        <w:t>arena dengan ad</w:t>
      </w:r>
      <w:r w:rsidR="00ED657F" w:rsidRPr="00AC6C38">
        <w:rPr>
          <w:lang w:val="id-ID"/>
        </w:rPr>
        <w:t>an</w:t>
      </w:r>
      <w:r w:rsidR="00F158EC" w:rsidRPr="00AC6C38">
        <w:rPr>
          <w:lang w:val="id-ID"/>
        </w:rPr>
        <w:t xml:space="preserve">ya kerjasama antara perhotelan dengan </w:t>
      </w:r>
      <w:r w:rsidR="00F158EC" w:rsidRPr="00AC6C38">
        <w:rPr>
          <w:i/>
          <w:lang w:val="id-ID"/>
        </w:rPr>
        <w:t>online travel agent</w:t>
      </w:r>
      <w:r w:rsidR="00F158EC" w:rsidRPr="00AC6C38">
        <w:rPr>
          <w:lang w:val="id-ID"/>
        </w:rPr>
        <w:t xml:space="preserve"> tersebut, menjadikan kamar-kamar yang tersedia pada hotel-hotel tersebut dapat dijual dengan lebih mudah dan cepat melalui aplikasi-aplikasi yang sudah terkenal dan mudah diakses oleh semua lapisan dan kalangan masyarakat. Salah satu </w:t>
      </w:r>
      <w:r w:rsidR="00F158EC" w:rsidRPr="00AC6C38">
        <w:rPr>
          <w:i/>
          <w:lang w:val="id-ID"/>
        </w:rPr>
        <w:t xml:space="preserve">online </w:t>
      </w:r>
      <w:r w:rsidR="00F158EC" w:rsidRPr="00AC6C38">
        <w:rPr>
          <w:i/>
          <w:lang w:val="id-ID"/>
        </w:rPr>
        <w:lastRenderedPageBreak/>
        <w:t>travel agent</w:t>
      </w:r>
      <w:r w:rsidR="00F158EC" w:rsidRPr="00AC6C38">
        <w:rPr>
          <w:lang w:val="id-ID"/>
        </w:rPr>
        <w:t xml:space="preserve"> yang sudah cukup dikenal oleh masyarakat luas adalah pemesanan kamar hotel melalui aplikasi “</w:t>
      </w:r>
      <w:r w:rsidR="00F158EC" w:rsidRPr="00AC6C38">
        <w:rPr>
          <w:i/>
          <w:lang w:val="id-ID"/>
        </w:rPr>
        <w:t>RedDoorz</w:t>
      </w:r>
      <w:r w:rsidR="00F158EC" w:rsidRPr="00AC6C38">
        <w:rPr>
          <w:lang w:val="id-ID"/>
        </w:rPr>
        <w:t>”.</w:t>
      </w:r>
    </w:p>
    <w:p w14:paraId="2C3C2A4E" w14:textId="03382F2C" w:rsidR="009C44BA" w:rsidRPr="00AC6C38" w:rsidRDefault="00FD4A49" w:rsidP="00E50CE0">
      <w:pPr>
        <w:spacing w:line="276" w:lineRule="auto"/>
        <w:ind w:right="245" w:firstLine="567"/>
        <w:jc w:val="both"/>
        <w:rPr>
          <w:lang w:val="id-ID"/>
        </w:rPr>
      </w:pPr>
      <w:r w:rsidRPr="00AC6C38">
        <w:rPr>
          <w:i/>
          <w:lang w:val="id-ID"/>
        </w:rPr>
        <w:t>Travel Agent</w:t>
      </w:r>
      <w:r w:rsidRPr="00AC6C38">
        <w:rPr>
          <w:lang w:val="id-ID"/>
        </w:rPr>
        <w:t xml:space="preserve"> sendiri memiliki pengertian yaitu badan usaha yang bertugas untuk mempersiapkan, merencanakan, dan menyelenggarakan perjalanan wisata bagi wisatawan. Dengan produk utama mereka adalah </w:t>
      </w:r>
      <w:r w:rsidRPr="00AC6C38">
        <w:rPr>
          <w:i/>
          <w:lang w:val="id-ID"/>
        </w:rPr>
        <w:t xml:space="preserve">ticketing, voucher hotel, </w:t>
      </w:r>
      <w:r w:rsidRPr="00AC6C38">
        <w:rPr>
          <w:lang w:val="id-ID"/>
        </w:rPr>
        <w:t xml:space="preserve">paket wisata, </w:t>
      </w:r>
      <w:r w:rsidRPr="00AC6C38">
        <w:rPr>
          <w:i/>
          <w:lang w:val="id-ID"/>
        </w:rPr>
        <w:t>voucher</w:t>
      </w:r>
      <w:r w:rsidRPr="00AC6C38">
        <w:rPr>
          <w:lang w:val="id-ID"/>
        </w:rPr>
        <w:t xml:space="preserve"> pertunjukan</w:t>
      </w:r>
      <w:r w:rsidR="00255417" w:rsidRPr="00AC6C38">
        <w:rPr>
          <w:lang w:val="id-ID"/>
        </w:rPr>
        <w:t xml:space="preserve"> </w:t>
      </w:r>
      <w:r w:rsidRPr="00AC6C38">
        <w:rPr>
          <w:lang w:val="id-ID"/>
        </w:rPr>
        <w:t xml:space="preserve">dan transportasi wisata. </w:t>
      </w:r>
      <w:r w:rsidR="009C44BA" w:rsidRPr="00AC6C38">
        <w:rPr>
          <w:lang w:val="id-ID"/>
        </w:rPr>
        <w:t xml:space="preserve">Sedangkan yang dimaksud dengan </w:t>
      </w:r>
      <w:r w:rsidR="009C44BA" w:rsidRPr="00AC6C38">
        <w:rPr>
          <w:i/>
          <w:lang w:val="id-ID"/>
        </w:rPr>
        <w:t>Online Travel Agent</w:t>
      </w:r>
      <w:r w:rsidR="009C44BA" w:rsidRPr="00AC6C38">
        <w:rPr>
          <w:lang w:val="id-ID"/>
        </w:rPr>
        <w:t xml:space="preserve"> adalah memiliki pengertian yang sama dengan </w:t>
      </w:r>
      <w:r w:rsidR="009C44BA" w:rsidRPr="00AC6C38">
        <w:rPr>
          <w:i/>
          <w:lang w:val="id-ID"/>
        </w:rPr>
        <w:t>Travel Agent</w:t>
      </w:r>
      <w:r w:rsidR="009C44BA" w:rsidRPr="00AC6C38">
        <w:rPr>
          <w:lang w:val="id-ID"/>
        </w:rPr>
        <w:t xml:space="preserve"> konvensional, akan tetapi dasar dari pelayan</w:t>
      </w:r>
      <w:r w:rsidR="003515A8" w:rsidRPr="00AC6C38">
        <w:rPr>
          <w:lang w:val="id-ID"/>
        </w:rPr>
        <w:t>annya</w:t>
      </w:r>
      <w:r w:rsidR="009C44BA" w:rsidRPr="00AC6C38">
        <w:rPr>
          <w:lang w:val="id-ID"/>
        </w:rPr>
        <w:t xml:space="preserve"> saja yang menjadi perbedaan</w:t>
      </w:r>
      <w:r w:rsidR="0037105B" w:rsidRPr="00AC6C38">
        <w:rPr>
          <w:lang w:val="id-ID"/>
        </w:rPr>
        <w:t>,</w:t>
      </w:r>
      <w:r w:rsidR="009C44BA" w:rsidRPr="00AC6C38">
        <w:rPr>
          <w:lang w:val="id-ID"/>
        </w:rPr>
        <w:t xml:space="preserve"> yaitu dengan pelayanan secara daring dan melalui aplikas</w:t>
      </w:r>
      <w:r w:rsidR="003F2EEF" w:rsidRPr="00AC6C38">
        <w:rPr>
          <w:lang w:val="id-ID"/>
        </w:rPr>
        <w:t>i, s</w:t>
      </w:r>
      <w:r w:rsidR="009C44BA" w:rsidRPr="00AC6C38">
        <w:rPr>
          <w:lang w:val="id-ID"/>
        </w:rPr>
        <w:t>ehingga hal ini yang kemudian menarik minat masyarakat karena pemesanan yang dilakukan relatif lebih mudah dan cepat d</w:t>
      </w:r>
      <w:r w:rsidR="0013181D" w:rsidRPr="00AC6C38">
        <w:rPr>
          <w:lang w:val="id-ID"/>
        </w:rPr>
        <w:t>ibandingkan dengan harus</w:t>
      </w:r>
      <w:r w:rsidR="009C44BA" w:rsidRPr="00AC6C38">
        <w:rPr>
          <w:lang w:val="id-ID"/>
        </w:rPr>
        <w:t xml:space="preserve"> melalui jasa </w:t>
      </w:r>
      <w:r w:rsidR="009C44BA" w:rsidRPr="00AC6C38">
        <w:rPr>
          <w:i/>
          <w:lang w:val="id-ID"/>
        </w:rPr>
        <w:t>Travel Agent</w:t>
      </w:r>
      <w:r w:rsidR="009C44BA" w:rsidRPr="00AC6C38">
        <w:rPr>
          <w:lang w:val="id-ID"/>
        </w:rPr>
        <w:t xml:space="preserve"> konvensional.</w:t>
      </w:r>
      <w:r w:rsidR="00094A34" w:rsidRPr="00AC6C38">
        <w:t xml:space="preserve"> Terdapat beberapa aplikasi </w:t>
      </w:r>
      <w:r w:rsidR="00094A34" w:rsidRPr="00AC6C38">
        <w:rPr>
          <w:i/>
          <w:iCs/>
        </w:rPr>
        <w:t>travel</w:t>
      </w:r>
      <w:r w:rsidR="00094A34" w:rsidRPr="00AC6C38">
        <w:t xml:space="preserve"> </w:t>
      </w:r>
      <w:r w:rsidR="00094A34" w:rsidRPr="00AC6C38">
        <w:rPr>
          <w:i/>
          <w:iCs/>
        </w:rPr>
        <w:t>agent</w:t>
      </w:r>
      <w:r w:rsidR="00094A34" w:rsidRPr="00AC6C38">
        <w:t xml:space="preserve"> di Indonesia, </w:t>
      </w:r>
      <w:r w:rsidR="00094A34" w:rsidRPr="00AC6C38">
        <w:rPr>
          <w:lang w:val="id-ID"/>
        </w:rPr>
        <w:t>b</w:t>
      </w:r>
      <w:r w:rsidR="009C44BA" w:rsidRPr="00AC6C38">
        <w:rPr>
          <w:lang w:val="id-ID"/>
        </w:rPr>
        <w:t xml:space="preserve">erikut adalah jumlah kunjungan atau akses aplikasi yang menjadi </w:t>
      </w:r>
      <w:r w:rsidR="009C44BA" w:rsidRPr="00AC6C38">
        <w:rPr>
          <w:i/>
          <w:lang w:val="id-ID"/>
        </w:rPr>
        <w:t>Travel Agent Online</w:t>
      </w:r>
      <w:r w:rsidR="009C44BA" w:rsidRPr="00AC6C38">
        <w:rPr>
          <w:lang w:val="id-ID"/>
        </w:rPr>
        <w:t xml:space="preserve"> yang digunakan oleh sebagian besar masyarakat</w:t>
      </w:r>
      <w:r w:rsidR="001E2E8B" w:rsidRPr="00AC6C38">
        <w:t xml:space="preserve">. Seperti pada sumber </w:t>
      </w:r>
      <w:r w:rsidR="00764E0C" w:rsidRPr="00AC6C38">
        <w:fldChar w:fldCharType="begin" w:fldLock="1"/>
      </w:r>
      <w:r w:rsidR="00794F2E" w:rsidRPr="00AC6C38">
        <w:instrText>ADDIN CSL_CITATION {"citationItems":[{"id":"ITEM-1","itemData":{"URL":"https://katadata.co.id/desysetyowati/digital/5fa2d9deeff33/traveloka-dan-tiketcom-pacu-transaksi-pada-akhir-tahun","author":[{"dropping-particle":"","family":"Burhan","given":"fahmi ahmad","non-dropping-particle":"","parse-names":false,"suffix":""}],"id":"ITEM-1","issued":{"date-parts":[["0"]]},"title":"traveloka dan tiket.com pacu transaksi akhir tahun","type":"webpage"},"uris":["http://www.mendeley.com/documents/?uuid=76f837d1-5ac8-4df3-9247-223d8de9663b"]}],"mendeley":{"formattedCitation":"(Burhan, n.d.)","manualFormatting":"(Burhan, n.d.:52)","plainTextFormattedCitation":"(Burhan, n.d.)","previouslyFormattedCitation":"(Burhan, n.d.)"},"properties":{"noteIndex":0},"schema":"https://github.com/citation-style-language/schema/raw/master/csl-citation.json"}</w:instrText>
      </w:r>
      <w:r w:rsidR="00764E0C" w:rsidRPr="00AC6C38">
        <w:fldChar w:fldCharType="separate"/>
      </w:r>
      <w:r w:rsidR="00764E0C" w:rsidRPr="00AC6C38">
        <w:rPr>
          <w:noProof/>
        </w:rPr>
        <w:t>(Burhan, n.d.</w:t>
      </w:r>
      <w:r w:rsidR="00D23E8A" w:rsidRPr="00AC6C38">
        <w:rPr>
          <w:noProof/>
          <w:lang w:val="id-ID"/>
        </w:rPr>
        <w:t>:52</w:t>
      </w:r>
      <w:r w:rsidR="00764E0C" w:rsidRPr="00AC6C38">
        <w:rPr>
          <w:noProof/>
        </w:rPr>
        <w:t>)</w:t>
      </w:r>
      <w:r w:rsidR="00764E0C" w:rsidRPr="00AC6C38">
        <w:fldChar w:fldCharType="end"/>
      </w:r>
      <w:r w:rsidR="00764E0C" w:rsidRPr="00AC6C38">
        <w:rPr>
          <w:lang w:val="id-ID"/>
        </w:rPr>
        <w:t xml:space="preserve">, menyebutkan bahwa </w:t>
      </w:r>
      <w:r w:rsidR="00764E0C" w:rsidRPr="00AC6C38">
        <w:rPr>
          <w:i/>
          <w:iCs/>
          <w:lang w:val="id-ID"/>
        </w:rPr>
        <w:t>traveloka</w:t>
      </w:r>
      <w:r w:rsidR="00764E0C" w:rsidRPr="00AC6C38">
        <w:rPr>
          <w:lang w:val="id-ID"/>
        </w:rPr>
        <w:t xml:space="preserve"> memiliki 39,18 juta </w:t>
      </w:r>
      <w:r w:rsidR="00764E0C" w:rsidRPr="00AC6C38">
        <w:rPr>
          <w:i/>
          <w:iCs/>
          <w:lang w:val="id-ID"/>
        </w:rPr>
        <w:t>visitor</w:t>
      </w:r>
      <w:r w:rsidR="00764E0C" w:rsidRPr="00AC6C38">
        <w:rPr>
          <w:lang w:val="id-ID"/>
        </w:rPr>
        <w:t xml:space="preserve">; </w:t>
      </w:r>
      <w:r w:rsidR="00764E0C" w:rsidRPr="00AC6C38">
        <w:rPr>
          <w:i/>
          <w:iCs/>
          <w:lang w:val="id-ID"/>
        </w:rPr>
        <w:t>tiket</w:t>
      </w:r>
      <w:r w:rsidR="00764E0C" w:rsidRPr="00AC6C38">
        <w:rPr>
          <w:lang w:val="id-ID"/>
        </w:rPr>
        <w:t>.</w:t>
      </w:r>
      <w:r w:rsidR="00764E0C" w:rsidRPr="00AC6C38">
        <w:rPr>
          <w:i/>
          <w:iCs/>
          <w:lang w:val="id-ID"/>
        </w:rPr>
        <w:t>com</w:t>
      </w:r>
      <w:r w:rsidR="00764E0C" w:rsidRPr="00AC6C38">
        <w:rPr>
          <w:lang w:val="id-ID"/>
        </w:rPr>
        <w:t xml:space="preserve"> memilik</w:t>
      </w:r>
      <w:r w:rsidR="0037105B" w:rsidRPr="00AC6C38">
        <w:rPr>
          <w:lang w:val="id-ID"/>
        </w:rPr>
        <w:t>i</w:t>
      </w:r>
      <w:r w:rsidR="00764E0C" w:rsidRPr="00AC6C38">
        <w:rPr>
          <w:lang w:val="id-ID"/>
        </w:rPr>
        <w:t xml:space="preserve"> 8,9 juta </w:t>
      </w:r>
      <w:r w:rsidR="00764E0C" w:rsidRPr="00AC6C38">
        <w:rPr>
          <w:i/>
          <w:iCs/>
          <w:lang w:val="id-ID"/>
        </w:rPr>
        <w:t>visitor</w:t>
      </w:r>
      <w:r w:rsidR="00764E0C" w:rsidRPr="00AC6C38">
        <w:rPr>
          <w:lang w:val="id-ID"/>
        </w:rPr>
        <w:t xml:space="preserve">; </w:t>
      </w:r>
      <w:r w:rsidR="00764E0C" w:rsidRPr="00AC6C38">
        <w:rPr>
          <w:i/>
          <w:iCs/>
          <w:lang w:val="id-ID"/>
        </w:rPr>
        <w:t>booking.com</w:t>
      </w:r>
      <w:r w:rsidR="00764E0C" w:rsidRPr="00AC6C38">
        <w:rPr>
          <w:lang w:val="id-ID"/>
        </w:rPr>
        <w:t xml:space="preserve"> memiliki 3.97 juta </w:t>
      </w:r>
      <w:r w:rsidR="00764E0C" w:rsidRPr="00AC6C38">
        <w:rPr>
          <w:i/>
          <w:iCs/>
          <w:lang w:val="id-ID"/>
        </w:rPr>
        <w:t>visitor</w:t>
      </w:r>
      <w:r w:rsidR="00764E0C" w:rsidRPr="00AC6C38">
        <w:rPr>
          <w:lang w:val="id-ID"/>
        </w:rPr>
        <w:t xml:space="preserve">, </w:t>
      </w:r>
      <w:r w:rsidR="00764E0C" w:rsidRPr="00AC6C38">
        <w:rPr>
          <w:i/>
          <w:iCs/>
          <w:lang w:val="id-ID"/>
        </w:rPr>
        <w:t>pegi-pegi.com</w:t>
      </w:r>
      <w:r w:rsidR="00764E0C" w:rsidRPr="00AC6C38">
        <w:rPr>
          <w:lang w:val="id-ID"/>
        </w:rPr>
        <w:t xml:space="preserve"> memiliki 2.97 juta </w:t>
      </w:r>
      <w:r w:rsidR="00764E0C" w:rsidRPr="00AC6C38">
        <w:rPr>
          <w:i/>
          <w:iCs/>
          <w:lang w:val="id-ID"/>
        </w:rPr>
        <w:t>visitor</w:t>
      </w:r>
      <w:r w:rsidR="00764E0C" w:rsidRPr="00AC6C38">
        <w:rPr>
          <w:lang w:val="id-ID"/>
        </w:rPr>
        <w:t xml:space="preserve">, </w:t>
      </w:r>
      <w:r w:rsidR="00764E0C" w:rsidRPr="00AC6C38">
        <w:rPr>
          <w:i/>
          <w:iCs/>
          <w:lang w:val="id-ID"/>
        </w:rPr>
        <w:t>agoda.com</w:t>
      </w:r>
      <w:r w:rsidR="00764E0C" w:rsidRPr="00AC6C38">
        <w:rPr>
          <w:lang w:val="id-ID"/>
        </w:rPr>
        <w:t xml:space="preserve"> memiliki 2 juta </w:t>
      </w:r>
      <w:r w:rsidR="00764E0C" w:rsidRPr="00AC6C38">
        <w:rPr>
          <w:i/>
          <w:iCs/>
          <w:lang w:val="id-ID"/>
        </w:rPr>
        <w:t>visitor</w:t>
      </w:r>
      <w:r w:rsidR="00764E0C" w:rsidRPr="00AC6C38">
        <w:rPr>
          <w:lang w:val="id-ID"/>
        </w:rPr>
        <w:t xml:space="preserve">, sedangkan </w:t>
      </w:r>
      <w:r w:rsidR="00764E0C" w:rsidRPr="00AC6C38">
        <w:rPr>
          <w:i/>
          <w:iCs/>
          <w:lang w:val="id-ID"/>
        </w:rPr>
        <w:t>reddoorz</w:t>
      </w:r>
      <w:r w:rsidR="00764E0C" w:rsidRPr="00AC6C38">
        <w:rPr>
          <w:lang w:val="id-ID"/>
        </w:rPr>
        <w:t xml:space="preserve"> memiliki kurang dari 2 juta </w:t>
      </w:r>
      <w:r w:rsidR="00764E0C" w:rsidRPr="00AC6C38">
        <w:rPr>
          <w:i/>
          <w:iCs/>
          <w:lang w:val="id-ID"/>
        </w:rPr>
        <w:t>visitor</w:t>
      </w:r>
      <w:r w:rsidR="00764E0C" w:rsidRPr="00AC6C38">
        <w:rPr>
          <w:lang w:val="id-ID"/>
        </w:rPr>
        <w:t xml:space="preserve">. Hal ini merupakan hal yang lumrah pada fluktuatif jumlah </w:t>
      </w:r>
      <w:r w:rsidR="00764E0C" w:rsidRPr="00AC6C38">
        <w:rPr>
          <w:i/>
          <w:iCs/>
          <w:lang w:val="id-ID"/>
        </w:rPr>
        <w:t>visitor</w:t>
      </w:r>
      <w:r w:rsidR="00764E0C" w:rsidRPr="00AC6C38">
        <w:rPr>
          <w:lang w:val="id-ID"/>
        </w:rPr>
        <w:t xml:space="preserve"> setiap tahunnya. </w:t>
      </w:r>
    </w:p>
    <w:p w14:paraId="13DFD166" w14:textId="3E40C37C" w:rsidR="00437E60" w:rsidRPr="00AC6C38" w:rsidRDefault="00437E60" w:rsidP="00E50CE0">
      <w:pPr>
        <w:spacing w:line="276" w:lineRule="auto"/>
        <w:ind w:right="245" w:firstLine="567"/>
        <w:jc w:val="both"/>
        <w:rPr>
          <w:lang w:val="id-ID"/>
        </w:rPr>
      </w:pPr>
      <w:r w:rsidRPr="00AC6C38">
        <w:rPr>
          <w:lang w:val="id-ID"/>
        </w:rPr>
        <w:t>Menurut David L. Tobing</w:t>
      </w:r>
      <w:r w:rsidR="00E04C25" w:rsidRPr="00AC6C38">
        <w:t xml:space="preserve"> </w:t>
      </w:r>
      <w:r w:rsidR="00E04C25" w:rsidRPr="00AC6C38">
        <w:rPr>
          <w:noProof/>
        </w:rPr>
        <w:t xml:space="preserve"> </w:t>
      </w:r>
      <w:r w:rsidR="004122F8" w:rsidRPr="00AC6C38">
        <w:rPr>
          <w:noProof/>
        </w:rPr>
        <w:fldChar w:fldCharType="begin" w:fldLock="1"/>
      </w:r>
      <w:r w:rsidR="00794F2E" w:rsidRPr="00AC6C38">
        <w:rPr>
          <w:noProof/>
        </w:rPr>
        <w:instrText>ADDIN CSL_CITATION {"citationItems":[{"id":"ITEM-1","itemData":{"author":[{"dropping-particle":"","family":"Asikin","given":"Zainal","non-dropping-particle":"","parse-names":false,"suffix":""}],"id":"ITEM-1","issued":{"date-parts":[["2004"]]},"number-of-pages":"92","publisher":"raja grafindo persada","publisher-place":"Jakarta","title":"pengantar metode penelitian hukum","type":"book"},"uris":["http://www.mendeley.com/documents/?uuid=e95a97da-5505-4364-9dd7-4efae53c2bd4"]}],"mendeley":{"formattedCitation":"(Asikin, 2004)","manualFormatting":"(Asikin, 2004:86)","plainTextFormattedCitation":"(Asikin, 2004)","previouslyFormattedCitation":"(Asikin, 2004)"},"properties":{"noteIndex":0},"schema":"https://github.com/citation-style-language/schema/raw/master/csl-citation.json"}</w:instrText>
      </w:r>
      <w:r w:rsidR="004122F8" w:rsidRPr="00AC6C38">
        <w:rPr>
          <w:noProof/>
        </w:rPr>
        <w:fldChar w:fldCharType="separate"/>
      </w:r>
      <w:r w:rsidR="00810D83" w:rsidRPr="00AC6C38">
        <w:rPr>
          <w:noProof/>
        </w:rPr>
        <w:t>(Asikin, 2004</w:t>
      </w:r>
      <w:r w:rsidR="00D23E8A" w:rsidRPr="00AC6C38">
        <w:rPr>
          <w:noProof/>
          <w:lang w:val="id-ID"/>
        </w:rPr>
        <w:t>:86</w:t>
      </w:r>
      <w:r w:rsidR="00810D83" w:rsidRPr="00AC6C38">
        <w:rPr>
          <w:noProof/>
        </w:rPr>
        <w:t>)</w:t>
      </w:r>
      <w:r w:rsidR="004122F8" w:rsidRPr="00AC6C38">
        <w:rPr>
          <w:noProof/>
        </w:rPr>
        <w:fldChar w:fldCharType="end"/>
      </w:r>
      <w:r w:rsidRPr="00AC6C38">
        <w:rPr>
          <w:lang w:val="id-ID"/>
        </w:rPr>
        <w:t xml:space="preserve">, </w:t>
      </w:r>
      <w:r w:rsidR="00034209" w:rsidRPr="00AC6C38">
        <w:t>“</w:t>
      </w:r>
      <w:r w:rsidRPr="00AC6C38">
        <w:rPr>
          <w:lang w:val="id-ID"/>
        </w:rPr>
        <w:t xml:space="preserve">mengemukakan pendapatnya yaitu bahwa </w:t>
      </w:r>
      <w:r w:rsidR="00244ECA" w:rsidRPr="00AC6C38">
        <w:rPr>
          <w:lang w:val="id-ID"/>
        </w:rPr>
        <w:t>meskipun konsumen telah mengetahui dan memahami pencantuman klausula baku, kosumen sebenarnya cenderung  menolak karena tidak sesuai dengan prinsip keadilan</w:t>
      </w:r>
      <w:r w:rsidR="00034209" w:rsidRPr="00AC6C38">
        <w:t>”</w:t>
      </w:r>
      <w:r w:rsidR="00244ECA" w:rsidRPr="00AC6C38">
        <w:rPr>
          <w:lang w:val="id-ID"/>
        </w:rPr>
        <w:t xml:space="preserve">. </w:t>
      </w:r>
      <w:r w:rsidR="003555C5" w:rsidRPr="00AC6C38">
        <w:rPr>
          <w:lang w:val="id-ID"/>
        </w:rPr>
        <w:t>Pada hal ini, konsumen atau pihak kedua sering kali menerima isi perjanjian yang telah dibuat oleh pelaku usaha atau pihak pertama meskipun didalamnya disebutkan adanya klausula baku, hal ini terjadi karena beberapa alasan yaitu</w:t>
      </w:r>
      <w:r w:rsidR="00A03B9C" w:rsidRPr="00AC6C38">
        <w:rPr>
          <w:lang w:val="id-ID"/>
        </w:rPr>
        <w:t xml:space="preserve"> </w:t>
      </w:r>
      <w:r w:rsidR="004E096B" w:rsidRPr="00AC6C38">
        <w:rPr>
          <w:noProof/>
        </w:rPr>
        <w:fldChar w:fldCharType="begin" w:fldLock="1"/>
      </w:r>
      <w:r w:rsidR="00794F2E" w:rsidRPr="00AC6C38">
        <w:rPr>
          <w:noProof/>
        </w:rPr>
        <w:instrText>ADDIN CSL_CITATION {"citationItems":[{"id":"ITEM-1","itemData":{"author":[{"dropping-particle":"","family":"Asikin","given":"Zainal","non-dropping-particle":"","parse-names":false,"suffix":""}],"id":"ITEM-1","issued":{"date-parts":[["2004"]]},"number-of-pages":"92","publisher":"raja grafindo persada","publisher-place":"Jakarta","title":"pengantar metode penelitian hukum","type":"book"},"uris":["http://www.mendeley.com/documents/?uuid=e95a97da-5505-4364-9dd7-4efae53c2bd4"]}],"mendeley":{"formattedCitation":"(Asikin, 2004)","manualFormatting":"(Asikin, 2004:86)","plainTextFormattedCitation":"(Asikin, 2004)","previouslyFormattedCitation":"(Asikin, 2004)"},"properties":{"noteIndex":0},"schema":"https://github.com/citation-style-language/schema/raw/master/csl-citation.json"}</w:instrText>
      </w:r>
      <w:r w:rsidR="004E096B" w:rsidRPr="00AC6C38">
        <w:rPr>
          <w:noProof/>
        </w:rPr>
        <w:fldChar w:fldCharType="separate"/>
      </w:r>
      <w:r w:rsidR="004E096B" w:rsidRPr="00AC6C38">
        <w:rPr>
          <w:noProof/>
        </w:rPr>
        <w:t>(Asikin, 2004</w:t>
      </w:r>
      <w:r w:rsidR="004E096B" w:rsidRPr="00AC6C38">
        <w:rPr>
          <w:noProof/>
          <w:lang w:val="id-ID"/>
        </w:rPr>
        <w:t>:86</w:t>
      </w:r>
      <w:r w:rsidR="004E096B" w:rsidRPr="00AC6C38">
        <w:rPr>
          <w:noProof/>
        </w:rPr>
        <w:t>)</w:t>
      </w:r>
      <w:r w:rsidR="004E096B" w:rsidRPr="00AC6C38">
        <w:rPr>
          <w:noProof/>
        </w:rPr>
        <w:fldChar w:fldCharType="end"/>
      </w:r>
      <w:r w:rsidR="004E096B" w:rsidRPr="00AC6C38">
        <w:rPr>
          <w:lang w:val="id-ID"/>
        </w:rPr>
        <w:t>:</w:t>
      </w:r>
    </w:p>
    <w:p w14:paraId="0C70EDA8" w14:textId="1556AEA0" w:rsidR="00244ECA" w:rsidRPr="00AC6C38" w:rsidRDefault="00CC43A4" w:rsidP="00E50CE0">
      <w:pPr>
        <w:numPr>
          <w:ilvl w:val="0"/>
          <w:numId w:val="28"/>
        </w:numPr>
        <w:spacing w:line="276" w:lineRule="auto"/>
        <w:ind w:right="245"/>
        <w:jc w:val="both"/>
        <w:rPr>
          <w:lang w:val="id-ID"/>
        </w:rPr>
      </w:pPr>
      <w:r w:rsidRPr="00AC6C38">
        <w:rPr>
          <w:lang w:val="id-ID"/>
        </w:rPr>
        <w:t>“</w:t>
      </w:r>
      <w:r w:rsidR="00244ECA" w:rsidRPr="00AC6C38">
        <w:rPr>
          <w:lang w:val="id-ID"/>
        </w:rPr>
        <w:t>Dipaksa untuk melakukannya;</w:t>
      </w:r>
    </w:p>
    <w:p w14:paraId="6359F0F7" w14:textId="77777777" w:rsidR="00244ECA" w:rsidRPr="00AC6C38" w:rsidRDefault="00244ECA" w:rsidP="00E50CE0">
      <w:pPr>
        <w:numPr>
          <w:ilvl w:val="0"/>
          <w:numId w:val="28"/>
        </w:numPr>
        <w:spacing w:line="276" w:lineRule="auto"/>
        <w:ind w:right="245"/>
        <w:jc w:val="both"/>
        <w:rPr>
          <w:lang w:val="id-ID"/>
        </w:rPr>
      </w:pPr>
      <w:r w:rsidRPr="00AC6C38">
        <w:rPr>
          <w:lang w:val="id-ID"/>
        </w:rPr>
        <w:t>Untuk mempercepat proses transaksi;</w:t>
      </w:r>
    </w:p>
    <w:p w14:paraId="0C7E10A5" w14:textId="53AC635A" w:rsidR="00244ECA" w:rsidRPr="00AC6C38" w:rsidRDefault="00244ECA" w:rsidP="00E50CE0">
      <w:pPr>
        <w:numPr>
          <w:ilvl w:val="0"/>
          <w:numId w:val="28"/>
        </w:numPr>
        <w:spacing w:line="276" w:lineRule="auto"/>
        <w:ind w:right="245"/>
        <w:jc w:val="both"/>
        <w:rPr>
          <w:lang w:val="id-ID"/>
        </w:rPr>
      </w:pPr>
      <w:r w:rsidRPr="00AC6C38">
        <w:rPr>
          <w:lang w:val="id-ID"/>
        </w:rPr>
        <w:t>Agar tidak merasa dirugikan dari pencantuman klausula baku tersebut</w:t>
      </w:r>
      <w:r w:rsidR="00500D94" w:rsidRPr="00AC6C38">
        <w:t>”</w:t>
      </w:r>
      <w:r w:rsidRPr="00AC6C38">
        <w:rPr>
          <w:lang w:val="id-ID"/>
        </w:rPr>
        <w:t>.</w:t>
      </w:r>
    </w:p>
    <w:p w14:paraId="449CC45A" w14:textId="77777777" w:rsidR="0086225C" w:rsidRPr="00AC6C38" w:rsidRDefault="00F7609F" w:rsidP="00E50CE0">
      <w:pPr>
        <w:spacing w:line="276" w:lineRule="auto"/>
        <w:ind w:right="245"/>
        <w:jc w:val="both"/>
      </w:pPr>
      <w:r w:rsidRPr="00AC6C38">
        <w:t xml:space="preserve">Adanya klausula baku membuat </w:t>
      </w:r>
      <w:r w:rsidR="00E26B01" w:rsidRPr="00AC6C38">
        <w:rPr>
          <w:lang w:val="id-ID"/>
        </w:rPr>
        <w:t xml:space="preserve">pihak pertama </w:t>
      </w:r>
      <w:r w:rsidRPr="00AC6C38">
        <w:t xml:space="preserve">berposisi lebih kuat daripada pihak kedua yang mana tidak memiliki hak untuk menolak atau menghapus klausul yang tidak cocok. </w:t>
      </w:r>
    </w:p>
    <w:p w14:paraId="2C70AA31" w14:textId="32B1965E" w:rsidR="00AB7650" w:rsidRPr="00AC6C38" w:rsidRDefault="009040CD" w:rsidP="00E50CE0">
      <w:pPr>
        <w:spacing w:line="276" w:lineRule="auto"/>
        <w:ind w:right="245" w:firstLine="426"/>
        <w:jc w:val="both"/>
        <w:rPr>
          <w:lang w:val="id-ID"/>
        </w:rPr>
      </w:pPr>
      <w:r w:rsidRPr="00AC6C38">
        <w:rPr>
          <w:lang w:val="id-ID"/>
        </w:rPr>
        <w:t xml:space="preserve">Perjanjian baku sering kali menimbulkan suatu masalah dan membuat para pihak kontroversi, karena pada Pasal 1320 jo Pasal 1338 KUHPer perjanjian baku tidak dianggap melanggar asas kebebasan berkontrak, karena pada perjanjian tersebut pihak kedua atau konsumen masih memiliki pilihan yaitu menyetujui isi </w:t>
      </w:r>
      <w:r w:rsidRPr="00AC6C38">
        <w:rPr>
          <w:lang w:val="id-ID"/>
        </w:rPr>
        <w:lastRenderedPageBreak/>
        <w:t xml:space="preserve">perjanjian dengan menandatanganinya </w:t>
      </w:r>
      <w:r w:rsidRPr="00AC6C38">
        <w:rPr>
          <w:i/>
          <w:lang w:val="id-ID"/>
        </w:rPr>
        <w:t>(take it)</w:t>
      </w:r>
      <w:r w:rsidRPr="00AC6C38">
        <w:rPr>
          <w:lang w:val="id-ID"/>
        </w:rPr>
        <w:t xml:space="preserve"> atau tidak menandatangani dengan menolak perjanjian itu </w:t>
      </w:r>
      <w:r w:rsidRPr="00AC6C38">
        <w:rPr>
          <w:i/>
          <w:lang w:val="id-ID"/>
        </w:rPr>
        <w:t>(leave it)</w:t>
      </w:r>
      <w:r w:rsidRPr="00AC6C38">
        <w:rPr>
          <w:lang w:val="id-ID"/>
        </w:rPr>
        <w:t xml:space="preserve">, namun pihak lain juga banyak yang menganggap bahwa perjanjian baku juga melanggar asas kebebasan berkontrak. </w:t>
      </w:r>
      <w:r w:rsidRPr="00AC6C38">
        <w:t xml:space="preserve"> </w:t>
      </w:r>
      <w:r w:rsidR="00500D94" w:rsidRPr="00AC6C38">
        <w:t>“</w:t>
      </w:r>
      <w:r w:rsidR="00244ECA" w:rsidRPr="00AC6C38">
        <w:rPr>
          <w:lang w:val="id-ID"/>
        </w:rPr>
        <w:t>Konsumen me</w:t>
      </w:r>
      <w:r w:rsidR="000D0AB8" w:rsidRPr="00AC6C38">
        <w:rPr>
          <w:lang w:val="id-ID"/>
        </w:rPr>
        <w:t>n</w:t>
      </w:r>
      <w:r w:rsidR="00244ECA" w:rsidRPr="00AC6C38">
        <w:rPr>
          <w:lang w:val="id-ID"/>
        </w:rPr>
        <w:t>ganggap pelaku usaha yang memasukkan klausula baku tidak berniat untuk tidak adil, sebaliknya klausula baku dianggap membuat transaksi berjalan lancar</w:t>
      </w:r>
      <w:r w:rsidR="00F71FBA" w:rsidRPr="00AC6C38">
        <w:rPr>
          <w:lang w:val="id-ID"/>
        </w:rPr>
        <w:t xml:space="preserve"> </w:t>
      </w:r>
      <w:r w:rsidR="00244ECA" w:rsidRPr="00AC6C38">
        <w:rPr>
          <w:lang w:val="id-ID"/>
        </w:rPr>
        <w:t>dan bukan sebagai beban bagi konsumen, tidak merugikan, bukan faktor penentu bagi konsumen untuk membeli barang atau menggunakan layanan, meskipun terdapat perasaan yang dipasa untuk menerima klausula baku tersebut</w:t>
      </w:r>
      <w:r w:rsidR="00500D94" w:rsidRPr="00AC6C38">
        <w:rPr>
          <w:noProof/>
        </w:rPr>
        <w:t xml:space="preserve">” </w:t>
      </w:r>
      <w:r w:rsidR="004122F8" w:rsidRPr="00AC6C38">
        <w:rPr>
          <w:noProof/>
        </w:rPr>
        <w:fldChar w:fldCharType="begin" w:fldLock="1"/>
      </w:r>
      <w:r w:rsidR="00794F2E" w:rsidRPr="00AC6C38">
        <w:rPr>
          <w:noProof/>
        </w:rPr>
        <w:instrText>ADDIN CSL_CITATION {"citationItems":[{"id":"ITEM-1","itemData":{"author":[{"dropping-particle":"","family":"Antari","given":"kadek widya","non-dropping-particle":"","parse-names":false,"suffix":""}],"container-title":"jurnal komunitas yustisia","id":"ITEM-1","issue":"2","issued":{"date-parts":[["2019"]]},"page":"123-142","title":"TINJAUAN YURIDIS MENGENAI ANTYNOMY NORMEN (KONFLIK NORMA) ANTARA UNDANG-UNDANG NOMOR 5 TAHUN 1960 TENTANG PERATURAN DASAR-DASAR POKOK AGRARIA DENGAN UNDANG-UNDANG NOMOR 25 TAHUN 2007 TENTANG PENANAMAN MODAL TERKAIT JANGKA WAKTU PEROLEHAN HAK ATAS TANAH","type":"article-journal","volume":"2"},"uris":["http://www.mendeley.com/documents/?uuid=25271c60-5032-4f5f-a9f2-09d729988d6b"]}],"mendeley":{"formattedCitation":"(Antari, 2019)","manualFormatting":"(Antari, 2019:90)","plainTextFormattedCitation":"(Antari, 2019)","previouslyFormattedCitation":"(Antari, 2019)"},"properties":{"noteIndex":0},"schema":"https://github.com/citation-style-language/schema/raw/master/csl-citation.json"}</w:instrText>
      </w:r>
      <w:r w:rsidR="004122F8" w:rsidRPr="00AC6C38">
        <w:rPr>
          <w:noProof/>
        </w:rPr>
        <w:fldChar w:fldCharType="separate"/>
      </w:r>
      <w:r w:rsidR="004122F8" w:rsidRPr="00AC6C38">
        <w:rPr>
          <w:noProof/>
        </w:rPr>
        <w:t>(Antari, 2019</w:t>
      </w:r>
      <w:r w:rsidR="00D23E8A" w:rsidRPr="00AC6C38">
        <w:rPr>
          <w:noProof/>
          <w:lang w:val="id-ID"/>
        </w:rPr>
        <w:t>:90</w:t>
      </w:r>
      <w:r w:rsidR="004122F8" w:rsidRPr="00AC6C38">
        <w:rPr>
          <w:noProof/>
        </w:rPr>
        <w:t>)</w:t>
      </w:r>
      <w:r w:rsidR="004122F8" w:rsidRPr="00AC6C38">
        <w:rPr>
          <w:noProof/>
        </w:rPr>
        <w:fldChar w:fldCharType="end"/>
      </w:r>
      <w:r w:rsidR="00B4570A" w:rsidRPr="00AC6C38">
        <w:rPr>
          <w:lang w:val="id-ID"/>
        </w:rPr>
        <w:t xml:space="preserve">. Pada aplikasi </w:t>
      </w:r>
      <w:r w:rsidR="00B4570A" w:rsidRPr="00AC6C38">
        <w:rPr>
          <w:i/>
          <w:iCs/>
          <w:lang w:val="id-ID"/>
        </w:rPr>
        <w:t>RedDoorz</w:t>
      </w:r>
      <w:r w:rsidR="00B4570A" w:rsidRPr="00AC6C38">
        <w:rPr>
          <w:lang w:val="id-ID"/>
        </w:rPr>
        <w:t xml:space="preserve">, klausula baku yang berupa syarat dan ketentuan penggunaan aplikasi terpaksa harus disetujui oleh pengguna aplikasi agar bisa menggunakan aplikasi </w:t>
      </w:r>
      <w:r w:rsidR="00B4570A" w:rsidRPr="00AC6C38">
        <w:rPr>
          <w:i/>
          <w:iCs/>
          <w:lang w:val="id-ID"/>
        </w:rPr>
        <w:t>RedDoorz</w:t>
      </w:r>
      <w:r w:rsidR="00B4570A" w:rsidRPr="00AC6C38">
        <w:rPr>
          <w:lang w:val="id-ID"/>
        </w:rPr>
        <w:t xml:space="preserve">. </w:t>
      </w:r>
      <w:r w:rsidR="00500D94" w:rsidRPr="00AC6C38">
        <w:t>“</w:t>
      </w:r>
      <w:r w:rsidR="00B4570A" w:rsidRPr="00AC6C38">
        <w:rPr>
          <w:lang w:val="id-ID"/>
        </w:rPr>
        <w:t>K</w:t>
      </w:r>
      <w:r w:rsidR="00907067" w:rsidRPr="00AC6C38">
        <w:t>onflik norma juga diartikan sebagai konflik antara dua norma terjadi apabila antara apa yang diperintahkan dalam ketentuan suatu norma dengan apa yang diperintahkan dalam ketentuan norma lainnya tidak cocok</w:t>
      </w:r>
      <w:r w:rsidR="001F6AE6" w:rsidRPr="00AC6C38">
        <w:rPr>
          <w:lang w:val="id-ID"/>
        </w:rPr>
        <w:t xml:space="preserve">, </w:t>
      </w:r>
      <w:r w:rsidR="00907067" w:rsidRPr="00AC6C38">
        <w:t>sehingga mematuhi atau melaksanakan satu norma tersebut akan niscaya atau mungkin menyebabkan pelanggaran terhadap norma lainnya</w:t>
      </w:r>
      <w:r w:rsidR="00500D94" w:rsidRPr="00AC6C38">
        <w:t>”</w:t>
      </w:r>
      <w:r w:rsidR="00907067" w:rsidRPr="00AC6C38">
        <w:t xml:space="preserve"> </w:t>
      </w:r>
      <w:r w:rsidR="004122F8" w:rsidRPr="00AC6C38">
        <w:rPr>
          <w:noProof/>
        </w:rPr>
        <w:t xml:space="preserve"> </w:t>
      </w:r>
      <w:r w:rsidR="004122F8" w:rsidRPr="00AC6C38">
        <w:rPr>
          <w:noProof/>
        </w:rPr>
        <w:fldChar w:fldCharType="begin" w:fldLock="1"/>
      </w:r>
      <w:r w:rsidR="00794F2E" w:rsidRPr="00AC6C38">
        <w:rPr>
          <w:noProof/>
        </w:rPr>
        <w:instrText>ADDIN CSL_CITATION {"citationItems":[{"id":"ITEM-1","itemData":{"URL":"https://advokatkonstitusi.com/Memecahkan-Konflik-Norma-Degan-Asas-Derogasi/#:~:Text=Dalam bukunya ”allgemeine der Normen,Kompatibel%2Ftidak cocok sehingga mematuhi","author":[{"dropping-particle":"","family":"Dhikshita","given":"Ida Bagus Putra Agung","non-dropping-particle":"","parse-names":false,"suffix":""}],"id":"ITEM-1","issued":{"date-parts":[["0"]]},"title":"memecahkan konflik norma dengan asas derogasi","type":"webpage"},"uris":["http://www.mendeley.com/documents/?uuid=06ba80b5-e53f-4714-be40-c8682737f514"]}],"mendeley":{"formattedCitation":"(Dhikshita, n.d.)","manualFormatting":"(Dhikshita, n.d:14.)","plainTextFormattedCitation":"(Dhikshita, n.d.)","previouslyFormattedCitation":"(Dhikshita, n.d.)"},"properties":{"noteIndex":0},"schema":"https://github.com/citation-style-language/schema/raw/master/csl-citation.json"}</w:instrText>
      </w:r>
      <w:r w:rsidR="004122F8" w:rsidRPr="00AC6C38">
        <w:rPr>
          <w:noProof/>
        </w:rPr>
        <w:fldChar w:fldCharType="separate"/>
      </w:r>
      <w:r w:rsidR="004122F8" w:rsidRPr="00AC6C38">
        <w:rPr>
          <w:noProof/>
        </w:rPr>
        <w:t>(Dhikshita, n.d</w:t>
      </w:r>
      <w:r w:rsidR="00D23E8A" w:rsidRPr="00AC6C38">
        <w:rPr>
          <w:noProof/>
          <w:lang w:val="id-ID"/>
        </w:rPr>
        <w:t>:14</w:t>
      </w:r>
      <w:r w:rsidR="004122F8" w:rsidRPr="00AC6C38">
        <w:rPr>
          <w:noProof/>
        </w:rPr>
        <w:t>.)</w:t>
      </w:r>
      <w:r w:rsidR="004122F8" w:rsidRPr="00AC6C38">
        <w:rPr>
          <w:noProof/>
        </w:rPr>
        <w:fldChar w:fldCharType="end"/>
      </w:r>
      <w:r w:rsidR="004E096B" w:rsidRPr="00AC6C38">
        <w:rPr>
          <w:lang w:val="id-ID"/>
        </w:rPr>
        <w:t>.</w:t>
      </w:r>
      <w:r w:rsidR="00F7609F" w:rsidRPr="00AC6C38">
        <w:t xml:space="preserve"> </w:t>
      </w:r>
    </w:p>
    <w:p w14:paraId="56F5608E" w14:textId="4FDFF175" w:rsidR="00AB7650" w:rsidRPr="00AC6C38" w:rsidRDefault="00AB7650" w:rsidP="00E50CE0">
      <w:pPr>
        <w:spacing w:line="276" w:lineRule="auto"/>
        <w:ind w:right="245" w:firstLine="426"/>
        <w:jc w:val="both"/>
      </w:pPr>
      <w:r w:rsidRPr="00AC6C38">
        <w:t>Penggunaan kontrak baku ini menunjukan sisi dominan oleh salah satu pihak, yang mana ditujukan untuk menciptakan kestabilan pada pasar itu sendiri. Sedangkan konsumen tidak mempunyai kesempatan dan tidak diberi kesempatan untuk bernegosiasi mengenai isi perjanjian tersebut. Karena hal itulah</w:t>
      </w:r>
      <w:r w:rsidR="0013181D" w:rsidRPr="00AC6C38">
        <w:rPr>
          <w:lang w:val="id-ID"/>
        </w:rPr>
        <w:t>,</w:t>
      </w:r>
      <w:r w:rsidRPr="00AC6C38">
        <w:t xml:space="preserve"> seringkali timbul konflik dan permasalahan yaitu seharusnya para pihak mempunyai sisi yang sama atau seimbang dan tidak berat salah satunya, namun pada perjanjian baku tidak ditemukan hal-hal seperti ini atau dalam kata lain tidak ada kebebasan </w:t>
      </w:r>
      <w:r w:rsidR="00A5575F" w:rsidRPr="00AC6C38">
        <w:rPr>
          <w:lang w:val="id-ID"/>
        </w:rPr>
        <w:t>dalam</w:t>
      </w:r>
      <w:r w:rsidRPr="00AC6C38">
        <w:t xml:space="preserve"> menentukan isi perjanjian, yang mana sangat tidak menguntungkan bagi konsumen. Adanya hal seperti ini membuat kontroversi antara keberadaan dan keabsahan pada perjanjian itu sendiri. Karena masyarakat tetap mempunyai atau menganut asas-asas berkontrak seperti asas kebebasan berkontrak, asas kebebasan memilih yurisdiksi hukum. Namun kenyataanya, konsumen kesulitan untuk menentukan isi perjanjian dan hal-hal yang riskan dalam sebuah perjanjian. </w:t>
      </w:r>
    </w:p>
    <w:p w14:paraId="3387CC40" w14:textId="77777777" w:rsidR="0086225C" w:rsidRPr="00AC6C38" w:rsidRDefault="0086225C" w:rsidP="00E50CE0">
      <w:pPr>
        <w:spacing w:line="276" w:lineRule="auto"/>
        <w:ind w:right="245" w:firstLine="567"/>
        <w:jc w:val="both"/>
      </w:pPr>
      <w:r w:rsidRPr="00AC6C38">
        <w:t xml:space="preserve">Pada salah satu klausul yang terdapat pada aplikasi </w:t>
      </w:r>
      <w:r w:rsidRPr="00AC6C38">
        <w:rPr>
          <w:i/>
          <w:iCs/>
        </w:rPr>
        <w:t>RedDoorz</w:t>
      </w:r>
      <w:r w:rsidRPr="00AC6C38">
        <w:t xml:space="preserve"> menuliskan, </w:t>
      </w:r>
    </w:p>
    <w:p w14:paraId="7BB37329" w14:textId="77777777" w:rsidR="0086225C" w:rsidRPr="00AC6C38" w:rsidRDefault="0086225C" w:rsidP="00E50CE0">
      <w:pPr>
        <w:spacing w:line="276" w:lineRule="auto"/>
        <w:ind w:left="567" w:right="245"/>
        <w:jc w:val="both"/>
      </w:pPr>
      <w:r w:rsidRPr="00AC6C38">
        <w:t>“</w:t>
      </w:r>
      <w:r w:rsidRPr="00AC6C38">
        <w:rPr>
          <w:lang w:val="id-ID"/>
        </w:rPr>
        <w:t>D</w:t>
      </w:r>
      <w:r w:rsidRPr="00AC6C38">
        <w:t xml:space="preserve">alam keadaan apapun, tanggung jawab total </w:t>
      </w:r>
      <w:r w:rsidRPr="00AC6C38">
        <w:rPr>
          <w:i/>
          <w:iCs/>
        </w:rPr>
        <w:t>RedDoorz</w:t>
      </w:r>
      <w:r w:rsidRPr="00AC6C38">
        <w:t xml:space="preserve"> kepada anda atas semua kerugian, dan penyebab tindakan (baik dalam kontrak atau kesalahan, termasuk namun tidak terbatas pada kelalaian atau lainnya) untuk ketentuan penggunaan anda atas </w:t>
      </w:r>
      <w:r w:rsidRPr="00AC6C38">
        <w:rPr>
          <w:i/>
          <w:iCs/>
        </w:rPr>
        <w:t>platform</w:t>
      </w:r>
      <w:r w:rsidRPr="00AC6C38">
        <w:t xml:space="preserve"> ini tidak boleh melebihi USS 50,00”. </w:t>
      </w:r>
    </w:p>
    <w:p w14:paraId="445DAEB5" w14:textId="0ED6C096" w:rsidR="009040CD" w:rsidRPr="00AC6C38" w:rsidRDefault="0086225C" w:rsidP="00E50CE0">
      <w:pPr>
        <w:spacing w:line="276" w:lineRule="auto"/>
        <w:ind w:right="245" w:firstLine="567"/>
        <w:jc w:val="both"/>
        <w:rPr>
          <w:lang w:val="id-ID"/>
        </w:rPr>
      </w:pPr>
      <w:r w:rsidRPr="00AC6C38">
        <w:lastRenderedPageBreak/>
        <w:t xml:space="preserve">Konflik norma terjadi karena adanya tumpang tindih antara aturan yang lebih tinggi dengan aturan yang lebih rendah. </w:t>
      </w:r>
      <w:r w:rsidRPr="00AC6C38">
        <w:rPr>
          <w:lang w:val="id-ID"/>
        </w:rPr>
        <w:t xml:space="preserve">Konflik ini terjadi salah satunya adalah disebabkan adanya klausula baku yang digunakan oleh </w:t>
      </w:r>
      <w:r w:rsidRPr="00AC6C38">
        <w:rPr>
          <w:i/>
          <w:lang w:val="id-ID"/>
        </w:rPr>
        <w:t>Travel Agent Online</w:t>
      </w:r>
      <w:r w:rsidRPr="00AC6C38">
        <w:rPr>
          <w:lang w:val="id-ID"/>
        </w:rPr>
        <w:t xml:space="preserve"> dalam setiap perjanjiannya dengan </w:t>
      </w:r>
      <w:r w:rsidRPr="00AC6C38">
        <w:t xml:space="preserve">para </w:t>
      </w:r>
      <w:r w:rsidRPr="00AC6C38">
        <w:rPr>
          <w:lang w:val="id-ID"/>
        </w:rPr>
        <w:t>anggota</w:t>
      </w:r>
      <w:r w:rsidRPr="00AC6C38">
        <w:t xml:space="preserve"> yang mana </w:t>
      </w:r>
      <w:r w:rsidRPr="00AC6C38">
        <w:rPr>
          <w:i/>
          <w:iCs/>
        </w:rPr>
        <w:t>RedDoorz</w:t>
      </w:r>
      <w:r w:rsidRPr="00AC6C38">
        <w:t xml:space="preserve"> tidak akan mengganti biaya kerugian melebihi USS 50,00 dan tertulis didalamnya dalam bentuk segala kelalaian dan t</w:t>
      </w:r>
      <w:r w:rsidR="00BF759C" w:rsidRPr="00AC6C38">
        <w:t xml:space="preserve">terjadi ketika adanya aturan yang saling berbenturan, seperti pada klasul </w:t>
      </w:r>
      <w:r w:rsidR="00B4570A" w:rsidRPr="00AC6C38">
        <w:rPr>
          <w:i/>
          <w:iCs/>
          <w:lang w:val="id-ID"/>
        </w:rPr>
        <w:t>R</w:t>
      </w:r>
      <w:r w:rsidR="00BF759C" w:rsidRPr="00AC6C38">
        <w:rPr>
          <w:i/>
          <w:iCs/>
        </w:rPr>
        <w:t>ed</w:t>
      </w:r>
      <w:r w:rsidR="00B4570A" w:rsidRPr="00AC6C38">
        <w:rPr>
          <w:i/>
          <w:iCs/>
          <w:lang w:val="id-ID"/>
        </w:rPr>
        <w:t>D</w:t>
      </w:r>
      <w:r w:rsidR="00BF759C" w:rsidRPr="00AC6C38">
        <w:rPr>
          <w:i/>
          <w:iCs/>
        </w:rPr>
        <w:t>oorz</w:t>
      </w:r>
      <w:r w:rsidR="00BF759C" w:rsidRPr="00AC6C38">
        <w:t xml:space="preserve"> yang menyatakan adanya pengalihan tanggung jawab oleh </w:t>
      </w:r>
      <w:r w:rsidR="00B4570A" w:rsidRPr="00AC6C38">
        <w:rPr>
          <w:i/>
          <w:iCs/>
          <w:lang w:val="id-ID"/>
        </w:rPr>
        <w:t>R</w:t>
      </w:r>
      <w:r w:rsidR="00BF759C" w:rsidRPr="00AC6C38">
        <w:rPr>
          <w:i/>
          <w:iCs/>
        </w:rPr>
        <w:t>ed</w:t>
      </w:r>
      <w:r w:rsidR="00B4570A" w:rsidRPr="00AC6C38">
        <w:rPr>
          <w:i/>
          <w:iCs/>
          <w:lang w:val="id-ID"/>
        </w:rPr>
        <w:t>D</w:t>
      </w:r>
      <w:r w:rsidR="00BF759C" w:rsidRPr="00AC6C38">
        <w:rPr>
          <w:i/>
          <w:iCs/>
        </w:rPr>
        <w:t>oorz</w:t>
      </w:r>
      <w:r w:rsidR="00C3148B" w:rsidRPr="00AC6C38">
        <w:rPr>
          <w:lang w:val="id-ID"/>
        </w:rPr>
        <w:t xml:space="preserve">, </w:t>
      </w:r>
      <w:r w:rsidR="009C6781" w:rsidRPr="00AC6C38">
        <w:t xml:space="preserve">sedangkan </w:t>
      </w:r>
      <w:r w:rsidR="009040CD" w:rsidRPr="00AC6C38">
        <w:rPr>
          <w:lang w:val="id-ID"/>
        </w:rPr>
        <w:t>Pasal 18 UUPK merupakan Undang-Undang tunggal yang mengatur adanya klausula baku, yaitu:</w:t>
      </w:r>
    </w:p>
    <w:p w14:paraId="1DCC67C4" w14:textId="5FA6F4B6" w:rsidR="000D0AB8" w:rsidRPr="00AC6C38" w:rsidRDefault="009040CD" w:rsidP="00E50CE0">
      <w:pPr>
        <w:numPr>
          <w:ilvl w:val="0"/>
          <w:numId w:val="41"/>
        </w:numPr>
        <w:spacing w:line="276" w:lineRule="auto"/>
        <w:ind w:right="245"/>
        <w:jc w:val="both"/>
        <w:rPr>
          <w:iCs/>
          <w:lang w:val="id-ID"/>
        </w:rPr>
      </w:pPr>
      <w:r w:rsidRPr="00AC6C38">
        <w:rPr>
          <w:iCs/>
        </w:rPr>
        <w:t xml:space="preserve"> </w:t>
      </w:r>
      <w:r w:rsidR="00500D94" w:rsidRPr="00AC6C38">
        <w:rPr>
          <w:iCs/>
        </w:rPr>
        <w:t>“</w:t>
      </w:r>
      <w:r w:rsidR="000D0AB8" w:rsidRPr="00AC6C38">
        <w:rPr>
          <w:iCs/>
          <w:lang w:val="id-ID"/>
        </w:rPr>
        <w:t>Pelaku usaha dalam menawarkan barang dan/atau jasa yang ditujukan untuk diperdagangkan dilarang membuat atau mencantumkan klausula baku pada setiap dokumen dan/atau perjanjian apabila:</w:t>
      </w:r>
    </w:p>
    <w:p w14:paraId="45B59F06" w14:textId="77777777" w:rsidR="000D0AB8" w:rsidRPr="00AC6C38" w:rsidRDefault="000D0AB8" w:rsidP="00E50CE0">
      <w:pPr>
        <w:numPr>
          <w:ilvl w:val="0"/>
          <w:numId w:val="42"/>
        </w:numPr>
        <w:spacing w:line="276" w:lineRule="auto"/>
        <w:ind w:right="245"/>
        <w:jc w:val="both"/>
        <w:rPr>
          <w:iCs/>
          <w:lang w:val="id-ID"/>
        </w:rPr>
      </w:pPr>
      <w:r w:rsidRPr="00AC6C38">
        <w:rPr>
          <w:iCs/>
          <w:lang w:val="id-ID"/>
        </w:rPr>
        <w:t>Menyatakan pengalihan tanggung jawab pelaku usaha;</w:t>
      </w:r>
    </w:p>
    <w:p w14:paraId="63A27455" w14:textId="77777777" w:rsidR="000D0AB8" w:rsidRPr="00AC6C38" w:rsidRDefault="000D0AB8" w:rsidP="00E50CE0">
      <w:pPr>
        <w:numPr>
          <w:ilvl w:val="0"/>
          <w:numId w:val="42"/>
        </w:numPr>
        <w:spacing w:line="276" w:lineRule="auto"/>
        <w:ind w:right="245"/>
        <w:jc w:val="both"/>
        <w:rPr>
          <w:iCs/>
          <w:lang w:val="id-ID"/>
        </w:rPr>
      </w:pPr>
      <w:r w:rsidRPr="00AC6C38">
        <w:rPr>
          <w:iCs/>
          <w:lang w:val="id-ID"/>
        </w:rPr>
        <w:t>Menyatakan bahwa pelaku usaha berhak menolak penyerahan kembali barang yang dibeli konsumen;</w:t>
      </w:r>
    </w:p>
    <w:p w14:paraId="6A55C1D5" w14:textId="77777777" w:rsidR="000D0AB8" w:rsidRPr="00AC6C38" w:rsidRDefault="000D0AB8" w:rsidP="00E50CE0">
      <w:pPr>
        <w:numPr>
          <w:ilvl w:val="0"/>
          <w:numId w:val="42"/>
        </w:numPr>
        <w:spacing w:line="276" w:lineRule="auto"/>
        <w:ind w:right="245"/>
        <w:jc w:val="both"/>
        <w:rPr>
          <w:iCs/>
          <w:lang w:val="id-ID"/>
        </w:rPr>
      </w:pPr>
      <w:r w:rsidRPr="00AC6C38">
        <w:rPr>
          <w:iCs/>
          <w:lang w:val="id-ID"/>
        </w:rPr>
        <w:t>Menyatakan bahwa pelaku usaha berhak menolah penyerahan kembali uang yang dibayarkan atas barang dan/jasa yang dibeli oleh konsumen;</w:t>
      </w:r>
    </w:p>
    <w:p w14:paraId="76FA0A3A" w14:textId="77777777" w:rsidR="000D0AB8" w:rsidRPr="00AC6C38" w:rsidRDefault="000D0AB8" w:rsidP="00E50CE0">
      <w:pPr>
        <w:numPr>
          <w:ilvl w:val="0"/>
          <w:numId w:val="42"/>
        </w:numPr>
        <w:spacing w:line="276" w:lineRule="auto"/>
        <w:ind w:right="245"/>
        <w:jc w:val="both"/>
        <w:rPr>
          <w:iCs/>
          <w:lang w:val="id-ID"/>
        </w:rPr>
      </w:pPr>
      <w:r w:rsidRPr="00AC6C38">
        <w:rPr>
          <w:iCs/>
          <w:lang w:val="id-ID"/>
        </w:rPr>
        <w:t>Menyatakan pemberian kuasa dari konsumen kepada pelaku usaha baik secara langsung maupun tidak langsung untuk melakukan segala tindakan yang dibeli oleh konsumen secara angsuran;</w:t>
      </w:r>
    </w:p>
    <w:p w14:paraId="71674AF4" w14:textId="77777777" w:rsidR="000D0AB8" w:rsidRPr="00AC6C38" w:rsidRDefault="000D0AB8" w:rsidP="00E50CE0">
      <w:pPr>
        <w:numPr>
          <w:ilvl w:val="0"/>
          <w:numId w:val="42"/>
        </w:numPr>
        <w:spacing w:line="276" w:lineRule="auto"/>
        <w:ind w:right="245"/>
        <w:jc w:val="both"/>
        <w:rPr>
          <w:iCs/>
          <w:lang w:val="id-ID"/>
        </w:rPr>
      </w:pPr>
      <w:r w:rsidRPr="00AC6C38">
        <w:rPr>
          <w:iCs/>
          <w:lang w:val="id-ID"/>
        </w:rPr>
        <w:t>Mengatur perihal pembuktian atas hilangnya kegunaan barang atau pemanfaatan jasa yang dibeli oleh konsumen;</w:t>
      </w:r>
    </w:p>
    <w:p w14:paraId="22B36475" w14:textId="77777777" w:rsidR="000D0AB8" w:rsidRPr="00AC6C38" w:rsidRDefault="000D0AB8" w:rsidP="00E50CE0">
      <w:pPr>
        <w:numPr>
          <w:ilvl w:val="0"/>
          <w:numId w:val="42"/>
        </w:numPr>
        <w:spacing w:line="276" w:lineRule="auto"/>
        <w:ind w:right="245"/>
        <w:jc w:val="both"/>
        <w:rPr>
          <w:iCs/>
          <w:lang w:val="id-ID"/>
        </w:rPr>
      </w:pPr>
      <w:r w:rsidRPr="00AC6C38">
        <w:rPr>
          <w:iCs/>
          <w:lang w:val="id-ID"/>
        </w:rPr>
        <w:t>Memberi hak kepada pelaku usaha untuk mengurangi manfaat jasa atau mengurangi harta kekayaan konsumen yang menjadi obyek jual beli jasa;</w:t>
      </w:r>
    </w:p>
    <w:p w14:paraId="5721B30C" w14:textId="375D47CE" w:rsidR="000D0AB8" w:rsidRPr="00AC6C38" w:rsidRDefault="000D0AB8" w:rsidP="00E50CE0">
      <w:pPr>
        <w:numPr>
          <w:ilvl w:val="0"/>
          <w:numId w:val="42"/>
        </w:numPr>
        <w:spacing w:line="276" w:lineRule="auto"/>
        <w:ind w:right="245"/>
        <w:jc w:val="both"/>
        <w:rPr>
          <w:iCs/>
          <w:lang w:val="id-ID"/>
        </w:rPr>
      </w:pPr>
      <w:r w:rsidRPr="00AC6C38">
        <w:rPr>
          <w:iCs/>
          <w:lang w:val="id-ID"/>
        </w:rPr>
        <w:t>Menyatakan tunduknya konsumen kepada peraturan yang berupa aturan baru, tambahan, lanjutan dan/atau pengubahan lanjutan yang dibuat sepihak oleh pelaku usaha dalam masa konsumen memanfaatkan jasa yang dibelinya</w:t>
      </w:r>
      <w:r w:rsidR="00C3148B" w:rsidRPr="00AC6C38">
        <w:rPr>
          <w:iCs/>
          <w:lang w:val="id-ID"/>
        </w:rPr>
        <w:t>;</w:t>
      </w:r>
    </w:p>
    <w:p w14:paraId="42DEA555" w14:textId="77777777" w:rsidR="000D0AB8" w:rsidRPr="00AC6C38" w:rsidRDefault="000D0AB8" w:rsidP="00E50CE0">
      <w:pPr>
        <w:numPr>
          <w:ilvl w:val="0"/>
          <w:numId w:val="42"/>
        </w:numPr>
        <w:spacing w:line="276" w:lineRule="auto"/>
        <w:ind w:right="245"/>
        <w:jc w:val="both"/>
        <w:rPr>
          <w:iCs/>
          <w:lang w:val="id-ID"/>
        </w:rPr>
      </w:pPr>
      <w:r w:rsidRPr="00AC6C38">
        <w:rPr>
          <w:iCs/>
          <w:lang w:val="id-ID"/>
        </w:rPr>
        <w:t xml:space="preserve">Menyatakan bahwa konsumen memberi kuasa kepada pelaku usaha untuk pembebanan hak tanggungan, hak gadai atau hak jaminan terhadap barang yang dibeli oleh konsumen secara angsuran. </w:t>
      </w:r>
    </w:p>
    <w:p w14:paraId="72797CC7" w14:textId="7EF1C5BE" w:rsidR="000D0AB8" w:rsidRPr="00AC6C38" w:rsidRDefault="000D0AB8" w:rsidP="00E50CE0">
      <w:pPr>
        <w:numPr>
          <w:ilvl w:val="0"/>
          <w:numId w:val="41"/>
        </w:numPr>
        <w:spacing w:line="276" w:lineRule="auto"/>
        <w:ind w:right="245"/>
        <w:jc w:val="both"/>
        <w:rPr>
          <w:iCs/>
          <w:lang w:val="id-ID"/>
        </w:rPr>
      </w:pPr>
      <w:r w:rsidRPr="00AC6C38">
        <w:rPr>
          <w:iCs/>
          <w:lang w:val="id-ID"/>
        </w:rPr>
        <w:lastRenderedPageBreak/>
        <w:t>Pelaku usaha dilarang mencantumkan klausula baku yang letak atau bentuknya sulit terlihat atau tidak dapat dibaca secara jelas atau yang pengungkapannya sulit dimengerti</w:t>
      </w:r>
      <w:r w:rsidR="00C3148B" w:rsidRPr="00AC6C38">
        <w:rPr>
          <w:iCs/>
          <w:lang w:val="id-ID"/>
        </w:rPr>
        <w:t>.</w:t>
      </w:r>
    </w:p>
    <w:p w14:paraId="6692904E" w14:textId="301FAFEB" w:rsidR="000D0AB8" w:rsidRPr="00AC6C38" w:rsidRDefault="000D0AB8" w:rsidP="00E50CE0">
      <w:pPr>
        <w:numPr>
          <w:ilvl w:val="0"/>
          <w:numId w:val="41"/>
        </w:numPr>
        <w:spacing w:line="276" w:lineRule="auto"/>
        <w:ind w:right="245"/>
        <w:jc w:val="both"/>
        <w:rPr>
          <w:iCs/>
          <w:lang w:val="id-ID"/>
        </w:rPr>
      </w:pPr>
      <w:r w:rsidRPr="00AC6C38">
        <w:rPr>
          <w:iCs/>
          <w:lang w:val="id-ID"/>
        </w:rPr>
        <w:t xml:space="preserve">Setiap klausula baku yang telah ditetapkan oleh pelaku usaha pada dokumen atau perjanjian </w:t>
      </w:r>
      <w:r w:rsidR="00C3148B" w:rsidRPr="00AC6C38">
        <w:rPr>
          <w:iCs/>
          <w:lang w:val="id-ID"/>
        </w:rPr>
        <w:t>yang</w:t>
      </w:r>
      <w:r w:rsidRPr="00AC6C38">
        <w:rPr>
          <w:iCs/>
          <w:lang w:val="id-ID"/>
        </w:rPr>
        <w:t xml:space="preserve"> memenuhi k</w:t>
      </w:r>
      <w:r w:rsidR="00C3148B" w:rsidRPr="00AC6C38">
        <w:rPr>
          <w:iCs/>
          <w:lang w:val="id-ID"/>
        </w:rPr>
        <w:t>etentuan</w:t>
      </w:r>
      <w:r w:rsidRPr="00AC6C38">
        <w:rPr>
          <w:iCs/>
          <w:lang w:val="id-ID"/>
        </w:rPr>
        <w:t xml:space="preserve"> sebagaimana dimaksud pada ayat (1) dan ayat (2) dinyatakan batal demi hukum</w:t>
      </w:r>
      <w:r w:rsidR="00500D94" w:rsidRPr="00AC6C38">
        <w:rPr>
          <w:iCs/>
        </w:rPr>
        <w:t>”</w:t>
      </w:r>
      <w:r w:rsidR="00C3148B" w:rsidRPr="00AC6C38">
        <w:rPr>
          <w:iCs/>
          <w:lang w:val="id-ID"/>
        </w:rPr>
        <w:t>.</w:t>
      </w:r>
    </w:p>
    <w:p w14:paraId="19ADF62D" w14:textId="54F64D88" w:rsidR="0086225C" w:rsidRPr="00AC6C38" w:rsidRDefault="0086225C" w:rsidP="00E50CE0">
      <w:pPr>
        <w:pStyle w:val="ListParagraph"/>
        <w:spacing w:line="276" w:lineRule="auto"/>
        <w:ind w:left="0" w:right="245" w:firstLine="567"/>
        <w:jc w:val="both"/>
        <w:rPr>
          <w:rFonts w:ascii="Times New Roman" w:hAnsi="Times New Roman"/>
          <w:sz w:val="20"/>
          <w:szCs w:val="20"/>
        </w:rPr>
      </w:pPr>
      <w:r w:rsidRPr="00AC6C38">
        <w:rPr>
          <w:rFonts w:ascii="Times New Roman" w:hAnsi="Times New Roman"/>
          <w:sz w:val="20"/>
          <w:szCs w:val="20"/>
        </w:rPr>
        <w:t xml:space="preserve">Dalam hal ini, </w:t>
      </w:r>
      <w:r w:rsidRPr="00AC6C38">
        <w:rPr>
          <w:rFonts w:ascii="Times New Roman" w:hAnsi="Times New Roman"/>
          <w:i/>
          <w:iCs/>
          <w:sz w:val="20"/>
          <w:szCs w:val="20"/>
        </w:rPr>
        <w:t>RedDoorz</w:t>
      </w:r>
      <w:r w:rsidRPr="00AC6C38">
        <w:rPr>
          <w:rFonts w:ascii="Times New Roman" w:hAnsi="Times New Roman"/>
          <w:sz w:val="20"/>
          <w:szCs w:val="20"/>
        </w:rPr>
        <w:t xml:space="preserve"> telah melakukan pengalihan tanggung jawab. Pengalihan tanggung jawab ini tidak seharusnya dilakukan oleh </w:t>
      </w:r>
      <w:r w:rsidRPr="00AC6C38">
        <w:rPr>
          <w:rFonts w:ascii="Times New Roman" w:hAnsi="Times New Roman"/>
          <w:i/>
          <w:iCs/>
          <w:sz w:val="20"/>
          <w:szCs w:val="20"/>
        </w:rPr>
        <w:t>RedDoorz</w:t>
      </w:r>
      <w:r w:rsidRPr="00AC6C38">
        <w:rPr>
          <w:rFonts w:ascii="Times New Roman" w:hAnsi="Times New Roman"/>
          <w:sz w:val="20"/>
          <w:szCs w:val="20"/>
        </w:rPr>
        <w:t xml:space="preserve"> selaku </w:t>
      </w:r>
      <w:r w:rsidRPr="00AC6C38">
        <w:rPr>
          <w:rFonts w:ascii="Times New Roman" w:hAnsi="Times New Roman"/>
          <w:i/>
          <w:iCs/>
          <w:sz w:val="20"/>
          <w:szCs w:val="20"/>
        </w:rPr>
        <w:t>travel</w:t>
      </w:r>
      <w:r w:rsidRPr="00AC6C38">
        <w:rPr>
          <w:rFonts w:ascii="Times New Roman" w:hAnsi="Times New Roman"/>
          <w:sz w:val="20"/>
          <w:szCs w:val="20"/>
        </w:rPr>
        <w:t xml:space="preserve"> </w:t>
      </w:r>
      <w:r w:rsidRPr="00AC6C38">
        <w:rPr>
          <w:rFonts w:ascii="Times New Roman" w:hAnsi="Times New Roman"/>
          <w:i/>
          <w:iCs/>
          <w:sz w:val="20"/>
          <w:szCs w:val="20"/>
        </w:rPr>
        <w:t>agent</w:t>
      </w:r>
      <w:r w:rsidRPr="00AC6C38">
        <w:rPr>
          <w:rFonts w:ascii="Times New Roman" w:hAnsi="Times New Roman"/>
          <w:sz w:val="20"/>
          <w:szCs w:val="20"/>
        </w:rPr>
        <w:t xml:space="preserve"> </w:t>
      </w:r>
      <w:r w:rsidRPr="00AC6C38">
        <w:rPr>
          <w:rFonts w:ascii="Times New Roman" w:hAnsi="Times New Roman"/>
          <w:i/>
          <w:iCs/>
          <w:sz w:val="20"/>
          <w:szCs w:val="20"/>
        </w:rPr>
        <w:t>online</w:t>
      </w:r>
      <w:r w:rsidRPr="00AC6C38">
        <w:rPr>
          <w:rFonts w:ascii="Times New Roman" w:hAnsi="Times New Roman"/>
          <w:sz w:val="20"/>
          <w:szCs w:val="20"/>
        </w:rPr>
        <w:t xml:space="preserve"> yang mana seharusnya </w:t>
      </w:r>
      <w:r w:rsidR="00FB620F" w:rsidRPr="00AC6C38">
        <w:rPr>
          <w:rFonts w:ascii="Times New Roman" w:hAnsi="Times New Roman"/>
          <w:i/>
          <w:iCs/>
          <w:sz w:val="20"/>
          <w:szCs w:val="20"/>
        </w:rPr>
        <w:t>RedDoorz</w:t>
      </w:r>
      <w:r w:rsidR="00FB620F" w:rsidRPr="00AC6C38">
        <w:rPr>
          <w:rFonts w:ascii="Times New Roman" w:hAnsi="Times New Roman"/>
          <w:sz w:val="20"/>
          <w:szCs w:val="20"/>
        </w:rPr>
        <w:t xml:space="preserve"> selaku </w:t>
      </w:r>
      <w:r w:rsidRPr="00AC6C38">
        <w:rPr>
          <w:rFonts w:ascii="Times New Roman" w:hAnsi="Times New Roman"/>
          <w:sz w:val="20"/>
          <w:szCs w:val="20"/>
        </w:rPr>
        <w:t xml:space="preserve">pelaku usaha </w:t>
      </w:r>
      <w:r w:rsidR="00FB620F" w:rsidRPr="00AC6C38">
        <w:rPr>
          <w:rFonts w:ascii="Times New Roman" w:hAnsi="Times New Roman"/>
          <w:sz w:val="20"/>
          <w:szCs w:val="20"/>
        </w:rPr>
        <w:t xml:space="preserve">dapat </w:t>
      </w:r>
      <w:r w:rsidRPr="00AC6C38">
        <w:rPr>
          <w:rFonts w:ascii="Times New Roman" w:hAnsi="Times New Roman"/>
          <w:sz w:val="20"/>
          <w:szCs w:val="20"/>
        </w:rPr>
        <w:t xml:space="preserve">memberikan kenyamanan dan tanggung jawab penuh bagi </w:t>
      </w:r>
      <w:bookmarkStart w:id="2" w:name="_Hlk105357079"/>
      <w:r w:rsidR="007F66FB" w:rsidRPr="00AC6C38">
        <w:rPr>
          <w:rFonts w:ascii="Times New Roman" w:hAnsi="Times New Roman"/>
          <w:sz w:val="20"/>
          <w:szCs w:val="20"/>
        </w:rPr>
        <w:t xml:space="preserve">para konsumennya, dalam hal ini yaitu </w:t>
      </w:r>
      <w:r w:rsidR="00FB620F" w:rsidRPr="00AC6C38">
        <w:rPr>
          <w:rFonts w:ascii="Times New Roman" w:hAnsi="Times New Roman"/>
          <w:sz w:val="20"/>
          <w:szCs w:val="20"/>
        </w:rPr>
        <w:t>pengguna aplikasi</w:t>
      </w:r>
      <w:r w:rsidR="007F66FB" w:rsidRPr="00AC6C38">
        <w:rPr>
          <w:rFonts w:ascii="Times New Roman" w:hAnsi="Times New Roman"/>
          <w:sz w:val="20"/>
          <w:szCs w:val="20"/>
        </w:rPr>
        <w:t xml:space="preserve"> </w:t>
      </w:r>
      <w:r w:rsidR="007F66FB" w:rsidRPr="00AC6C38">
        <w:rPr>
          <w:rFonts w:ascii="Times New Roman" w:hAnsi="Times New Roman"/>
          <w:i/>
          <w:iCs/>
          <w:sz w:val="20"/>
          <w:szCs w:val="20"/>
        </w:rPr>
        <w:t>RedDoorz.</w:t>
      </w:r>
    </w:p>
    <w:p w14:paraId="59FCB497" w14:textId="4962ECA8" w:rsidR="002B14B2" w:rsidRPr="00AC6C38" w:rsidRDefault="00D20564" w:rsidP="00E50CE0">
      <w:pPr>
        <w:pStyle w:val="ListParagraph"/>
        <w:spacing w:line="276" w:lineRule="auto"/>
        <w:ind w:left="0" w:right="245" w:firstLine="567"/>
        <w:jc w:val="both"/>
        <w:rPr>
          <w:rFonts w:ascii="Times New Roman" w:hAnsi="Times New Roman"/>
          <w:noProof/>
          <w:sz w:val="20"/>
          <w:szCs w:val="20"/>
        </w:rPr>
      </w:pPr>
      <w:r w:rsidRPr="00AC6C38">
        <w:rPr>
          <w:rFonts w:ascii="Times New Roman" w:hAnsi="Times New Roman"/>
          <w:noProof/>
          <w:sz w:val="20"/>
          <w:szCs w:val="20"/>
        </w:rPr>
        <w:t>Penggunaan perjanjian baku yang memu</w:t>
      </w:r>
      <w:r w:rsidR="00923D13" w:rsidRPr="00AC6C38">
        <w:rPr>
          <w:rFonts w:ascii="Times New Roman" w:hAnsi="Times New Roman"/>
          <w:noProof/>
          <w:sz w:val="20"/>
          <w:szCs w:val="20"/>
        </w:rPr>
        <w:t>at klausula baku telah digunakan ketika</w:t>
      </w:r>
      <w:r w:rsidRPr="00AC6C38">
        <w:rPr>
          <w:rFonts w:ascii="Times New Roman" w:hAnsi="Times New Roman"/>
          <w:noProof/>
          <w:sz w:val="20"/>
          <w:szCs w:val="20"/>
        </w:rPr>
        <w:t xml:space="preserve"> Indonesia mulai melakukan pembukaan terhadap Penanaman Modal Asing yang dilakukan semenjak diberlakukannya Undang-Undang Nomor 1 Tahun 1967 tentang Penanaman Modal Asing</w:t>
      </w:r>
      <w:r w:rsidR="00A7016E" w:rsidRPr="00AC6C38">
        <w:rPr>
          <w:rFonts w:ascii="Times New Roman" w:hAnsi="Times New Roman"/>
          <w:noProof/>
          <w:sz w:val="20"/>
          <w:szCs w:val="20"/>
        </w:rPr>
        <w:t xml:space="preserve">, dilakukan oleh perusahaan multi nasional atau perusahaan yang berdiri diluar Indonesia dan membuat cabang di Indonesia yang mana tidak hanya membawa pembaruan teknologi, juga membawa strategi baru untuk sebuah pemasaran pada perjanjian baku yang sudah ada sebelumnya. UUPK adalah Undang-Undang tunggal </w:t>
      </w:r>
      <w:r w:rsidR="009C1628" w:rsidRPr="00AC6C38">
        <w:rPr>
          <w:rFonts w:ascii="Times New Roman" w:hAnsi="Times New Roman"/>
          <w:noProof/>
          <w:sz w:val="20"/>
          <w:szCs w:val="20"/>
        </w:rPr>
        <w:t xml:space="preserve">dan pertama kali dalam sejarah di Indonesia </w:t>
      </w:r>
      <w:r w:rsidR="00A7016E" w:rsidRPr="00AC6C38">
        <w:rPr>
          <w:rFonts w:ascii="Times New Roman" w:hAnsi="Times New Roman"/>
          <w:noProof/>
          <w:sz w:val="20"/>
          <w:szCs w:val="20"/>
        </w:rPr>
        <w:t>yang mengatur mengenai perjanjian baku</w:t>
      </w:r>
      <w:r w:rsidR="009C1628" w:rsidRPr="00AC6C38">
        <w:rPr>
          <w:rFonts w:ascii="Times New Roman" w:hAnsi="Times New Roman"/>
          <w:noProof/>
          <w:sz w:val="20"/>
          <w:szCs w:val="20"/>
        </w:rPr>
        <w:t xml:space="preserve">, oleh karena itulah pengaturan yang tercantum pada UUPK harus diimplementasikan dengan baik. </w:t>
      </w:r>
      <w:r w:rsidR="00923D13" w:rsidRPr="00AC6C38">
        <w:rPr>
          <w:rFonts w:ascii="Times New Roman" w:hAnsi="Times New Roman"/>
          <w:noProof/>
          <w:sz w:val="20"/>
          <w:szCs w:val="20"/>
        </w:rPr>
        <w:t>D</w:t>
      </w:r>
      <w:r w:rsidRPr="00AC6C38">
        <w:rPr>
          <w:rFonts w:ascii="Times New Roman" w:hAnsi="Times New Roman"/>
          <w:noProof/>
          <w:sz w:val="20"/>
          <w:szCs w:val="20"/>
        </w:rPr>
        <w:t>engan kondisi pada saat itu yang menuntut penyusunan U</w:t>
      </w:r>
      <w:r w:rsidR="00923D13" w:rsidRPr="00AC6C38">
        <w:rPr>
          <w:rFonts w:ascii="Times New Roman" w:hAnsi="Times New Roman"/>
          <w:noProof/>
          <w:sz w:val="20"/>
          <w:szCs w:val="20"/>
        </w:rPr>
        <w:t>UPK</w:t>
      </w:r>
      <w:r w:rsidRPr="00AC6C38">
        <w:rPr>
          <w:rFonts w:ascii="Times New Roman" w:hAnsi="Times New Roman"/>
          <w:noProof/>
          <w:sz w:val="20"/>
          <w:szCs w:val="20"/>
        </w:rPr>
        <w:t xml:space="preserve"> agar disusun dalam waktu yang singkat karena adanya tuntutan dari IMF yang mewajibkan dibentuknya peraturan tersebut sebagai syarat untuk memberikan bantuan keuangan bagi Indonesia yang pada saat itu sedang berjuang menghadapi krisis moneter yang sedang terjadi, maka pengaturan yang sudah ada tersebut pada akhirnya memiliki beberapa kekurangan dan kelemahan yang membutuhkan penyempurnaan.</w:t>
      </w:r>
      <w:bookmarkEnd w:id="2"/>
    </w:p>
    <w:p w14:paraId="731DD6B9" w14:textId="1138AA2E" w:rsidR="003B5294" w:rsidRPr="00AC6C38" w:rsidRDefault="003B5294" w:rsidP="00E50CE0">
      <w:pPr>
        <w:pStyle w:val="ListParagraph"/>
        <w:spacing w:line="276" w:lineRule="auto"/>
        <w:ind w:left="0" w:right="245" w:firstLine="567"/>
        <w:jc w:val="both"/>
        <w:rPr>
          <w:rFonts w:ascii="Times New Roman" w:eastAsia="Times New Roman" w:hAnsi="Times New Roman"/>
          <w:sz w:val="20"/>
          <w:szCs w:val="20"/>
        </w:rPr>
      </w:pPr>
      <w:r w:rsidRPr="00AC6C38">
        <w:rPr>
          <w:rFonts w:ascii="Times New Roman" w:hAnsi="Times New Roman"/>
          <w:noProof/>
          <w:sz w:val="20"/>
          <w:szCs w:val="20"/>
        </w:rPr>
        <w:t xml:space="preserve">Terdapat beberapa penelitian sejenis yang meneliti tentang perlindungan konsumen, pembuatan perjanjian dan pencantuman klausula baku. Penelitian yang dilakukan </w:t>
      </w:r>
      <w:r w:rsidRPr="00AC6C38">
        <w:rPr>
          <w:rFonts w:ascii="Times New Roman" w:eastAsia="Times New Roman" w:hAnsi="Times New Roman"/>
          <w:sz w:val="20"/>
          <w:szCs w:val="20"/>
          <w:lang w:val="en-US"/>
        </w:rPr>
        <w:t>Ida Ayu Putri Permata Sari</w:t>
      </w:r>
      <w:r w:rsidRPr="00AC6C38">
        <w:rPr>
          <w:rFonts w:ascii="Times New Roman" w:eastAsia="Times New Roman" w:hAnsi="Times New Roman"/>
          <w:sz w:val="20"/>
          <w:szCs w:val="20"/>
        </w:rPr>
        <w:t xml:space="preserve"> (2019), </w:t>
      </w:r>
      <w:r w:rsidRPr="00AC6C38">
        <w:rPr>
          <w:rFonts w:ascii="Times New Roman" w:eastAsia="Times New Roman" w:hAnsi="Times New Roman"/>
          <w:sz w:val="20"/>
          <w:szCs w:val="20"/>
          <w:lang w:val="en-US"/>
        </w:rPr>
        <w:t>Fenty Rizka Astari</w:t>
      </w:r>
      <w:r w:rsidRPr="00AC6C38">
        <w:rPr>
          <w:rFonts w:ascii="Times New Roman" w:eastAsia="Times New Roman" w:hAnsi="Times New Roman"/>
          <w:sz w:val="20"/>
          <w:szCs w:val="20"/>
        </w:rPr>
        <w:t xml:space="preserve"> (2016), dan </w:t>
      </w:r>
      <w:r w:rsidRPr="00AC6C38">
        <w:rPr>
          <w:rFonts w:ascii="Times New Roman" w:eastAsia="Times New Roman" w:hAnsi="Times New Roman"/>
          <w:sz w:val="20"/>
          <w:szCs w:val="20"/>
          <w:lang w:val="en-US"/>
        </w:rPr>
        <w:t>Sekararum Intan Munggaran</w:t>
      </w:r>
      <w:r w:rsidRPr="00AC6C38">
        <w:rPr>
          <w:rFonts w:ascii="Times New Roman" w:eastAsia="Times New Roman" w:hAnsi="Times New Roman"/>
          <w:sz w:val="20"/>
          <w:szCs w:val="20"/>
        </w:rPr>
        <w:t xml:space="preserve"> (2019). Penelitian yang dilakukan oleh Ida Ayu Putri Permata Sari (2019) bertujuan untuk mengetahui </w:t>
      </w:r>
      <w:r w:rsidRPr="00AC6C38">
        <w:rPr>
          <w:rFonts w:ascii="Times New Roman" w:eastAsia="Times New Roman" w:hAnsi="Times New Roman"/>
          <w:sz w:val="20"/>
          <w:szCs w:val="20"/>
          <w:lang w:val="en-US"/>
        </w:rPr>
        <w:t>pengaturan dan kedudukan perjanjian klausula baku ditinjau dari UUPK</w:t>
      </w:r>
      <w:r w:rsidRPr="00AC6C38">
        <w:rPr>
          <w:rFonts w:ascii="Times New Roman" w:eastAsia="Times New Roman" w:hAnsi="Times New Roman"/>
          <w:sz w:val="20"/>
          <w:szCs w:val="20"/>
        </w:rPr>
        <w:t xml:space="preserve"> dan </w:t>
      </w:r>
      <w:r w:rsidRPr="00AC6C38">
        <w:rPr>
          <w:rFonts w:ascii="Times New Roman" w:eastAsia="Times New Roman" w:hAnsi="Times New Roman"/>
          <w:sz w:val="20"/>
          <w:szCs w:val="20"/>
          <w:lang w:val="en-US"/>
        </w:rPr>
        <w:t>bentuk perlindungan hukum bagi konsumen yang menerima klausula baku di pusat perbelanjaan</w:t>
      </w:r>
      <w:r w:rsidRPr="00AC6C38">
        <w:rPr>
          <w:rFonts w:ascii="Times New Roman" w:eastAsia="Times New Roman" w:hAnsi="Times New Roman"/>
          <w:sz w:val="20"/>
          <w:szCs w:val="20"/>
        </w:rPr>
        <w:t xml:space="preserve">. Penelitian yang </w:t>
      </w:r>
      <w:r w:rsidRPr="00AC6C38">
        <w:rPr>
          <w:rFonts w:ascii="Times New Roman" w:eastAsia="Times New Roman" w:hAnsi="Times New Roman"/>
          <w:sz w:val="20"/>
          <w:szCs w:val="20"/>
        </w:rPr>
        <w:lastRenderedPageBreak/>
        <w:t xml:space="preserve">dilakukan oleh Fenty Rizka Astari (2016) bertujuan untuk mengetahui bentuk perlindungan hak konsumen </w:t>
      </w:r>
      <w:r w:rsidRPr="00AC6C38">
        <w:rPr>
          <w:rFonts w:ascii="Times New Roman" w:eastAsia="Times New Roman" w:hAnsi="Times New Roman"/>
          <w:sz w:val="20"/>
          <w:szCs w:val="20"/>
          <w:lang w:val="en-US"/>
        </w:rPr>
        <w:t xml:space="preserve">akibat aturan klausula baku usaha karaoke keluarga di pekanbaru ditinjau berdasarkan </w:t>
      </w:r>
      <w:r w:rsidRPr="00AC6C38">
        <w:rPr>
          <w:rFonts w:ascii="Times New Roman" w:eastAsia="Times New Roman" w:hAnsi="Times New Roman"/>
          <w:sz w:val="20"/>
          <w:szCs w:val="20"/>
        </w:rPr>
        <w:t xml:space="preserve">UUPK dan </w:t>
      </w:r>
      <w:r w:rsidRPr="00AC6C38">
        <w:rPr>
          <w:rFonts w:ascii="Times New Roman" w:eastAsia="Times New Roman" w:hAnsi="Times New Roman"/>
          <w:sz w:val="20"/>
          <w:szCs w:val="20"/>
          <w:lang w:val="en-US"/>
        </w:rPr>
        <w:t>akibat hukum terhadap perlindungan hak konsumen</w:t>
      </w:r>
      <w:r w:rsidRPr="00AC6C38">
        <w:rPr>
          <w:rFonts w:ascii="Times New Roman" w:eastAsia="Times New Roman" w:hAnsi="Times New Roman"/>
          <w:sz w:val="20"/>
          <w:szCs w:val="20"/>
        </w:rPr>
        <w:t xml:space="preserve"> </w:t>
      </w:r>
      <w:r w:rsidRPr="00AC6C38">
        <w:rPr>
          <w:rFonts w:ascii="Times New Roman" w:eastAsia="Times New Roman" w:hAnsi="Times New Roman"/>
          <w:sz w:val="20"/>
          <w:szCs w:val="20"/>
          <w:lang w:val="en-US"/>
        </w:rPr>
        <w:t xml:space="preserve">akibat aturan klausula baku usaha karaoke keluarga di pekanbaru ditinjau berdasarkan </w:t>
      </w:r>
      <w:r w:rsidRPr="00AC6C38">
        <w:rPr>
          <w:rFonts w:ascii="Times New Roman" w:eastAsia="Times New Roman" w:hAnsi="Times New Roman"/>
          <w:sz w:val="20"/>
          <w:szCs w:val="20"/>
        </w:rPr>
        <w:t xml:space="preserve">UUPK. Penelitian yang dilakukan oleh Sekararum Intan Munggaran (2019) bertujuan untuk mengetahui </w:t>
      </w:r>
      <w:r w:rsidRPr="00AC6C38">
        <w:rPr>
          <w:rFonts w:ascii="Times New Roman" w:eastAsia="Times New Roman" w:hAnsi="Times New Roman"/>
          <w:sz w:val="20"/>
          <w:szCs w:val="20"/>
          <w:lang w:val="en-US"/>
        </w:rPr>
        <w:t>akibat hukum pencantuman klausula baku dalam perjanjian dihubungkan dengan beberapa asas dalam perjanjian berdasarkan buku III KUHPer</w:t>
      </w:r>
      <w:r w:rsidRPr="00AC6C38">
        <w:rPr>
          <w:rFonts w:ascii="Times New Roman" w:eastAsia="Times New Roman" w:hAnsi="Times New Roman"/>
          <w:sz w:val="20"/>
          <w:szCs w:val="20"/>
        </w:rPr>
        <w:t xml:space="preserve"> dan bentuk </w:t>
      </w:r>
      <w:r w:rsidRPr="00AC6C38">
        <w:rPr>
          <w:rFonts w:ascii="Times New Roman" w:eastAsia="Times New Roman" w:hAnsi="Times New Roman"/>
          <w:sz w:val="20"/>
          <w:szCs w:val="20"/>
          <w:lang w:val="en-US"/>
        </w:rPr>
        <w:t>perlindungan hukum terhadap konsumen berkaitan dnegan dicantumkannya klausula baku oleh pelaku usaha berdasarkan UUPK</w:t>
      </w:r>
      <w:r w:rsidRPr="00AC6C38">
        <w:rPr>
          <w:rFonts w:ascii="Times New Roman" w:eastAsia="Times New Roman" w:hAnsi="Times New Roman"/>
          <w:sz w:val="20"/>
          <w:szCs w:val="20"/>
        </w:rPr>
        <w:t>.</w:t>
      </w:r>
    </w:p>
    <w:p w14:paraId="45E557B7" w14:textId="3EA81CE3" w:rsidR="003B5294" w:rsidRPr="00AC6C38" w:rsidRDefault="003B5294" w:rsidP="00E50CE0">
      <w:pPr>
        <w:pStyle w:val="ListParagraph"/>
        <w:spacing w:line="276" w:lineRule="auto"/>
        <w:ind w:left="0" w:right="245" w:firstLine="567"/>
        <w:jc w:val="both"/>
        <w:rPr>
          <w:rFonts w:ascii="Times New Roman" w:hAnsi="Times New Roman"/>
          <w:sz w:val="20"/>
          <w:szCs w:val="20"/>
        </w:rPr>
      </w:pPr>
      <w:r w:rsidRPr="00AC6C38">
        <w:rPr>
          <w:rFonts w:ascii="Times New Roman" w:hAnsi="Times New Roman"/>
          <w:noProof/>
          <w:sz w:val="20"/>
          <w:szCs w:val="20"/>
        </w:rPr>
        <w:t xml:space="preserve">Permasalahan mengenai klausula baku pada aplikasi </w:t>
      </w:r>
      <w:r w:rsidRPr="00AC6C38">
        <w:rPr>
          <w:rFonts w:ascii="Times New Roman" w:hAnsi="Times New Roman"/>
          <w:i/>
          <w:iCs/>
          <w:noProof/>
          <w:sz w:val="20"/>
          <w:szCs w:val="20"/>
        </w:rPr>
        <w:t>RedDoorz</w:t>
      </w:r>
      <w:r w:rsidRPr="00AC6C38">
        <w:rPr>
          <w:rFonts w:ascii="Times New Roman" w:hAnsi="Times New Roman"/>
          <w:noProof/>
          <w:sz w:val="20"/>
          <w:szCs w:val="20"/>
        </w:rPr>
        <w:t xml:space="preserve"> terkait pengalihan tanggung jawab ini penting untuk diteliti, karena di Indonesia banyak kita jumpai penginapan-penginapan yang menggunakan logo  </w:t>
      </w:r>
      <w:r w:rsidRPr="00AC6C38">
        <w:rPr>
          <w:rFonts w:ascii="Times New Roman" w:hAnsi="Times New Roman"/>
          <w:i/>
          <w:iCs/>
          <w:noProof/>
          <w:sz w:val="20"/>
          <w:szCs w:val="20"/>
        </w:rPr>
        <w:t xml:space="preserve">RedDoorz </w:t>
      </w:r>
      <w:r w:rsidRPr="00AC6C38">
        <w:rPr>
          <w:rFonts w:ascii="Times New Roman" w:hAnsi="Times New Roman"/>
          <w:noProof/>
          <w:sz w:val="20"/>
          <w:szCs w:val="20"/>
        </w:rPr>
        <w:t xml:space="preserve">yang menunjukkan bahwa penginapan tersebut dikelola oleh </w:t>
      </w:r>
      <w:r w:rsidRPr="00AC6C38">
        <w:rPr>
          <w:rFonts w:ascii="Times New Roman" w:hAnsi="Times New Roman"/>
          <w:i/>
          <w:iCs/>
          <w:noProof/>
          <w:sz w:val="20"/>
          <w:szCs w:val="20"/>
        </w:rPr>
        <w:t xml:space="preserve">RedDoorz. RedDoorz </w:t>
      </w:r>
      <w:r w:rsidRPr="00AC6C38">
        <w:rPr>
          <w:rFonts w:ascii="Times New Roman" w:hAnsi="Times New Roman"/>
          <w:noProof/>
          <w:sz w:val="20"/>
          <w:szCs w:val="20"/>
        </w:rPr>
        <w:t xml:space="preserve">sendiri telah umum digunakan oleh masyarakat untuk memudahkan mereka mencari dan memesan kamar penginapan saat berpergian. Karena masyarakat tidak ada opsi lain selain menyetujui syarat dan ketentuan dari aplikasi  </w:t>
      </w:r>
      <w:r w:rsidRPr="00AC6C38">
        <w:rPr>
          <w:rFonts w:ascii="Times New Roman" w:hAnsi="Times New Roman"/>
          <w:i/>
          <w:iCs/>
          <w:noProof/>
          <w:sz w:val="20"/>
          <w:szCs w:val="20"/>
        </w:rPr>
        <w:t xml:space="preserve">RedDoorz </w:t>
      </w:r>
      <w:r w:rsidRPr="00AC6C38">
        <w:rPr>
          <w:rFonts w:ascii="Times New Roman" w:hAnsi="Times New Roman"/>
          <w:noProof/>
          <w:sz w:val="20"/>
          <w:szCs w:val="20"/>
        </w:rPr>
        <w:t xml:space="preserve">untuk bisa menggunakan aplikasi </w:t>
      </w:r>
      <w:r w:rsidRPr="00AC6C38">
        <w:rPr>
          <w:rFonts w:ascii="Times New Roman" w:hAnsi="Times New Roman"/>
          <w:i/>
          <w:iCs/>
          <w:noProof/>
          <w:sz w:val="20"/>
          <w:szCs w:val="20"/>
        </w:rPr>
        <w:t xml:space="preserve">RedDoorz, </w:t>
      </w:r>
      <w:r w:rsidRPr="00AC6C38">
        <w:rPr>
          <w:rFonts w:ascii="Times New Roman" w:hAnsi="Times New Roman"/>
          <w:noProof/>
          <w:sz w:val="20"/>
          <w:szCs w:val="20"/>
        </w:rPr>
        <w:t xml:space="preserve">maka ketika terjadi hal-hal yang merugikan konsumen, pihak </w:t>
      </w:r>
      <w:r w:rsidRPr="00AC6C38">
        <w:rPr>
          <w:rFonts w:ascii="Times New Roman" w:hAnsi="Times New Roman"/>
          <w:i/>
          <w:iCs/>
          <w:noProof/>
          <w:sz w:val="20"/>
          <w:szCs w:val="20"/>
        </w:rPr>
        <w:t xml:space="preserve">RedDoorz </w:t>
      </w:r>
      <w:r w:rsidRPr="00AC6C38">
        <w:rPr>
          <w:rFonts w:ascii="Times New Roman" w:hAnsi="Times New Roman"/>
          <w:noProof/>
          <w:sz w:val="20"/>
          <w:szCs w:val="20"/>
        </w:rPr>
        <w:t xml:space="preserve">tidak mau bertanggung jawab untuk mengganti kerugian tersebut. Hal-hal yang dapat merugikan konsumen pada penggunaan aplikasi </w:t>
      </w:r>
      <w:r w:rsidRPr="00AC6C38">
        <w:rPr>
          <w:rFonts w:ascii="Times New Roman" w:hAnsi="Times New Roman"/>
          <w:i/>
          <w:iCs/>
          <w:noProof/>
          <w:sz w:val="20"/>
          <w:szCs w:val="20"/>
        </w:rPr>
        <w:t xml:space="preserve">RedDoorz </w:t>
      </w:r>
      <w:r w:rsidRPr="00AC6C38">
        <w:rPr>
          <w:rFonts w:ascii="Times New Roman" w:hAnsi="Times New Roman"/>
          <w:noProof/>
          <w:sz w:val="20"/>
          <w:szCs w:val="20"/>
        </w:rPr>
        <w:t xml:space="preserve">contohnya adalah ketidaksesuaian gambar atau foto penginapan yang tertera pada aplikasi </w:t>
      </w:r>
      <w:r w:rsidRPr="00AC6C38">
        <w:rPr>
          <w:rFonts w:ascii="Times New Roman" w:hAnsi="Times New Roman"/>
          <w:i/>
          <w:iCs/>
          <w:noProof/>
          <w:sz w:val="20"/>
          <w:szCs w:val="20"/>
        </w:rPr>
        <w:t>RedDoorz</w:t>
      </w:r>
      <w:r w:rsidRPr="00AC6C38">
        <w:rPr>
          <w:rFonts w:ascii="Times New Roman" w:hAnsi="Times New Roman"/>
          <w:noProof/>
          <w:sz w:val="20"/>
          <w:szCs w:val="20"/>
        </w:rPr>
        <w:t xml:space="preserve"> dengan kondisi aslinya, pembatalan sepihak, adanya pelayanan yang buruk dari pihak penginapan kepada tamu penginapan selaku konsumen.</w:t>
      </w:r>
    </w:p>
    <w:p w14:paraId="43D978BA" w14:textId="4DDE0899" w:rsidR="001F6AE6" w:rsidRPr="00AC6C38" w:rsidRDefault="000218E3" w:rsidP="00E50CE0">
      <w:pPr>
        <w:spacing w:line="276" w:lineRule="auto"/>
        <w:ind w:right="245" w:firstLine="567"/>
        <w:jc w:val="both"/>
      </w:pPr>
      <w:r w:rsidRPr="00AC6C38">
        <w:t>Dengan adanya permasalahan di</w:t>
      </w:r>
      <w:r w:rsidR="001F6AE6" w:rsidRPr="00AC6C38">
        <w:t xml:space="preserve"> </w:t>
      </w:r>
      <w:r w:rsidRPr="00AC6C38">
        <w:t>atas</w:t>
      </w:r>
      <w:r w:rsidR="001F6AE6" w:rsidRPr="00AC6C38">
        <w:t>,</w:t>
      </w:r>
      <w:r w:rsidRPr="00AC6C38">
        <w:t xml:space="preserve"> maka penulis merumuskan masalah sebagai berikut</w:t>
      </w:r>
      <w:r w:rsidR="001F6AE6" w:rsidRPr="00AC6C38">
        <w:t>:</w:t>
      </w:r>
    </w:p>
    <w:p w14:paraId="08F950AA" w14:textId="6B85CBD6" w:rsidR="001F6AE6" w:rsidRPr="00AC6C38" w:rsidRDefault="001F6AE6" w:rsidP="00E50CE0">
      <w:pPr>
        <w:numPr>
          <w:ilvl w:val="0"/>
          <w:numId w:val="29"/>
        </w:numPr>
        <w:spacing w:line="276" w:lineRule="auto"/>
        <w:ind w:left="567" w:right="245" w:hanging="284"/>
        <w:jc w:val="both"/>
      </w:pPr>
      <w:r w:rsidRPr="00AC6C38">
        <w:t>B</w:t>
      </w:r>
      <w:r w:rsidR="000218E3" w:rsidRPr="00AC6C38">
        <w:t>agaimana perlindungan hukum bagi konsumen</w:t>
      </w:r>
      <w:r w:rsidR="004E096B" w:rsidRPr="00AC6C38">
        <w:t xml:space="preserve"> terkait</w:t>
      </w:r>
      <w:r w:rsidR="000218E3" w:rsidRPr="00AC6C38">
        <w:t xml:space="preserve"> klausula baku</w:t>
      </w:r>
      <w:r w:rsidR="005C52B7" w:rsidRPr="00AC6C38">
        <w:t xml:space="preserve"> </w:t>
      </w:r>
      <w:r w:rsidR="000218E3" w:rsidRPr="00AC6C38">
        <w:t xml:space="preserve">aplikasi </w:t>
      </w:r>
      <w:r w:rsidR="000218E3" w:rsidRPr="00AC6C38">
        <w:rPr>
          <w:i/>
          <w:iCs/>
        </w:rPr>
        <w:t>RedDoorz</w:t>
      </w:r>
      <w:r w:rsidRPr="00AC6C38">
        <w:t>?</w:t>
      </w:r>
    </w:p>
    <w:p w14:paraId="5F983C1C" w14:textId="77777777" w:rsidR="000218E3" w:rsidRPr="00AC6C38" w:rsidRDefault="001F6AE6" w:rsidP="00E50CE0">
      <w:pPr>
        <w:numPr>
          <w:ilvl w:val="0"/>
          <w:numId w:val="29"/>
        </w:numPr>
        <w:spacing w:line="276" w:lineRule="auto"/>
        <w:ind w:left="567" w:right="245" w:hanging="284"/>
        <w:jc w:val="both"/>
      </w:pPr>
      <w:r w:rsidRPr="00AC6C38">
        <w:t>B</w:t>
      </w:r>
      <w:r w:rsidR="000218E3" w:rsidRPr="00AC6C38">
        <w:t>ag</w:t>
      </w:r>
      <w:r w:rsidR="00EE3488" w:rsidRPr="00AC6C38">
        <w:t>aimana akibat hukum pengalihan tanggung jawab yang dilakukan</w:t>
      </w:r>
      <w:r w:rsidR="000218E3" w:rsidRPr="00AC6C38">
        <w:t xml:space="preserve"> oleh penyelenggara aplikasi </w:t>
      </w:r>
      <w:r w:rsidR="000218E3" w:rsidRPr="00AC6C38">
        <w:rPr>
          <w:i/>
          <w:iCs/>
        </w:rPr>
        <w:t>RedDoorz</w:t>
      </w:r>
      <w:r w:rsidRPr="00AC6C38">
        <w:t>?</w:t>
      </w:r>
    </w:p>
    <w:p w14:paraId="6E46DA68" w14:textId="77777777" w:rsidR="00F10D06" w:rsidRPr="00AC6C38" w:rsidRDefault="00F10D06" w:rsidP="00E50CE0">
      <w:pPr>
        <w:spacing w:line="276" w:lineRule="auto"/>
        <w:ind w:right="245"/>
        <w:jc w:val="both"/>
      </w:pPr>
    </w:p>
    <w:p w14:paraId="2F35B8A0" w14:textId="0EAC4D89" w:rsidR="00CD4368" w:rsidRPr="00AC6C38" w:rsidRDefault="00FD468D" w:rsidP="00E50CE0">
      <w:pPr>
        <w:spacing w:line="276" w:lineRule="auto"/>
        <w:ind w:right="245"/>
        <w:jc w:val="both"/>
        <w:rPr>
          <w:b/>
          <w:bCs/>
        </w:rPr>
      </w:pPr>
      <w:r w:rsidRPr="00AC6C38">
        <w:rPr>
          <w:b/>
          <w:bCs/>
        </w:rPr>
        <w:t>METODE</w:t>
      </w:r>
    </w:p>
    <w:p w14:paraId="32317EA2" w14:textId="4408C431" w:rsidR="003C750F" w:rsidRPr="00AC6C38" w:rsidRDefault="003C750F" w:rsidP="00E50CE0">
      <w:pPr>
        <w:spacing w:line="276" w:lineRule="auto"/>
        <w:ind w:right="-38" w:firstLine="567"/>
        <w:jc w:val="both"/>
        <w:rPr>
          <w:lang w:val="id-ID"/>
        </w:rPr>
      </w:pPr>
      <w:r w:rsidRPr="00AC6C38">
        <w:t>Penelitian ini menggunakan penelitian normatif</w:t>
      </w:r>
      <w:r w:rsidR="0014178F" w:rsidRPr="00AC6C38">
        <w:t xml:space="preserve"> </w:t>
      </w:r>
      <w:r w:rsidR="00500D94" w:rsidRPr="00AC6C38">
        <w:t>“</w:t>
      </w:r>
      <w:r w:rsidR="0014178F" w:rsidRPr="00AC6C38">
        <w:t xml:space="preserve">Penelitian normatif </w:t>
      </w:r>
      <w:r w:rsidR="004846EB" w:rsidRPr="00AC6C38">
        <w:t xml:space="preserve">yaitu </w:t>
      </w:r>
      <w:r w:rsidR="0014178F" w:rsidRPr="00AC6C38">
        <w:t xml:space="preserve">membahas </w:t>
      </w:r>
      <w:r w:rsidR="004846EB" w:rsidRPr="00AC6C38">
        <w:t xml:space="preserve">mengenai </w:t>
      </w:r>
      <w:r w:rsidR="0014178F" w:rsidRPr="00AC6C38">
        <w:t>doktin-doktrin atau asas-asas dalam ilmu hukum</w:t>
      </w:r>
      <w:r w:rsidR="00500D94" w:rsidRPr="00AC6C38">
        <w:t>”</w:t>
      </w:r>
      <w:r w:rsidR="0014178F" w:rsidRPr="00AC6C38">
        <w:t xml:space="preserve">  </w:t>
      </w:r>
      <w:r w:rsidR="004122F8" w:rsidRPr="00AC6C38">
        <w:fldChar w:fldCharType="begin" w:fldLock="1"/>
      </w:r>
      <w:r w:rsidR="00794F2E" w:rsidRPr="00AC6C38">
        <w:instrText>ADDIN CSL_CITATION {"citationItems":[{"id":"ITEM-1","itemData":{"author":[{"dropping-particle":"","family":"Ali","given":"Zainuddin","non-dropping-particle":"","parse-names":false,"suffix":""}],"id":"ITEM-1","issued":{"date-parts":[["2014"]]},"number-of-pages":"24","title":"Metode Penelitian Hukum","type":"book"},"uris":["http://www.mendeley.com/documents/?uuid=aec7eb9e-6f2d-4fcc-a35f-4ffbdddf7d75"]}],"mendeley":{"formattedCitation":"(Ali, 2014)","manualFormatting":"(Ali, 2014:67)","plainTextFormattedCitation":"(Ali, 2014)","previouslyFormattedCitation":"(Ali, 2014)"},"properties":{"noteIndex":0},"schema":"https://github.com/citation-style-language/schema/raw/master/csl-citation.json"}</w:instrText>
      </w:r>
      <w:r w:rsidR="004122F8" w:rsidRPr="00AC6C38">
        <w:fldChar w:fldCharType="separate"/>
      </w:r>
      <w:r w:rsidR="004122F8" w:rsidRPr="00AC6C38">
        <w:t>(Ali, 2014</w:t>
      </w:r>
      <w:r w:rsidR="00D23E8A" w:rsidRPr="00AC6C38">
        <w:t>:67</w:t>
      </w:r>
      <w:r w:rsidR="004122F8" w:rsidRPr="00AC6C38">
        <w:t>)</w:t>
      </w:r>
      <w:r w:rsidR="004122F8" w:rsidRPr="00AC6C38">
        <w:fldChar w:fldCharType="end"/>
      </w:r>
      <w:r w:rsidR="004122F8" w:rsidRPr="00AC6C38">
        <w:t>.</w:t>
      </w:r>
      <w:r w:rsidRPr="00AC6C38">
        <w:t xml:space="preserve"> Peneliti memilih jenis penelitian ini karena adanya pemikiran untuk membahas klausula baku yang ada pada aplikasi</w:t>
      </w:r>
      <w:r w:rsidR="007F519D" w:rsidRPr="00AC6C38">
        <w:rPr>
          <w:i/>
          <w:iCs/>
        </w:rPr>
        <w:t xml:space="preserve"> RedDoorz</w:t>
      </w:r>
      <w:r w:rsidR="0029468B" w:rsidRPr="00AC6C38">
        <w:t xml:space="preserve">, klausula ini terindikasi memiliki akibat adanya pengalihan tanggung jawab pada konsumen yang </w:t>
      </w:r>
      <w:r w:rsidR="0029468B" w:rsidRPr="00AC6C38">
        <w:lastRenderedPageBreak/>
        <w:t>dilakukan</w:t>
      </w:r>
      <w:r w:rsidR="007F519D" w:rsidRPr="00AC6C38">
        <w:rPr>
          <w:i/>
          <w:iCs/>
        </w:rPr>
        <w:t xml:space="preserve"> RedDoorz</w:t>
      </w:r>
      <w:r w:rsidR="0029468B" w:rsidRPr="00AC6C38">
        <w:t xml:space="preserve">. Karena itulah peneliti menggunakan pendekatan perundang-undangan yang digunakan sebagai dasar untuk menelaah klausula tersebut untuk “perhatian adalah struktur norma dalam wujud tata urutan atau hierarki peraturan perundang-undangan” </w:t>
      </w:r>
      <w:r w:rsidR="0029468B" w:rsidRPr="00AC6C38">
        <w:fldChar w:fldCharType="begin" w:fldLock="1"/>
      </w:r>
      <w:r w:rsidR="0029468B" w:rsidRPr="00AC6C38">
        <w:instrText>ADDIN CSL_CITATION {"citationItems":[{"id":"ITEM-1","itemData":{"author":[{"dropping-particle":"","family":"Diantha","given":"I Made Pasek","non-dropping-particle":"","parse-names":false,"suffix":""}],"id":"ITEM-1","issued":{"date-parts":[["2016"]]},"publisher":"Prenadamedia Group","publisher-place":"Jakarta","title":"Metodologi Penelitian Hukum Normatif Dalam Justifikasi Teori Hukum","type":"book"},"uris":["http://www.mendeley.com/documents/?uuid=3dffb846-964e-46cb-a2b5-724b4b208ad7","http://www.mendeley.com/documents/?uuid=5b12eed5-a851-4b58-819c-90a26ee8a9fd"]}],"mendeley":{"formattedCitation":"(Diantha, 2016)","plainTextFormattedCitation":"(Diantha, 2016)","previouslyFormattedCitation":"(Diantha, 2016)"},"properties":{"noteIndex":0},"schema":"https://github.com/citation-style-language/schema/raw/master/csl-citation.json"}</w:instrText>
      </w:r>
      <w:r w:rsidR="0029468B" w:rsidRPr="00AC6C38">
        <w:fldChar w:fldCharType="separate"/>
      </w:r>
      <w:r w:rsidR="0029468B" w:rsidRPr="00AC6C38">
        <w:t>(Diantha, 2016)</w:t>
      </w:r>
      <w:r w:rsidR="0029468B" w:rsidRPr="00AC6C38">
        <w:fldChar w:fldCharType="end"/>
      </w:r>
      <w:r w:rsidR="0029468B" w:rsidRPr="00AC6C38">
        <w:t xml:space="preserve">., pendekatan kasus dari sebuah kasus yang sudah ada sebelumnya mengenai kerugian serta pengalihan tanggung jawab yang dilakukan oleh </w:t>
      </w:r>
      <w:r w:rsidR="007F519D" w:rsidRPr="00AC6C38">
        <w:rPr>
          <w:i/>
          <w:iCs/>
        </w:rPr>
        <w:t>RedDoorz</w:t>
      </w:r>
      <w:r w:rsidR="007F519D" w:rsidRPr="00AC6C38">
        <w:t xml:space="preserve"> </w:t>
      </w:r>
      <w:r w:rsidR="0029468B" w:rsidRPr="00AC6C38">
        <w:t xml:space="preserve">serta menggunakan pendekatan konseptual, “Pada pendekatan konseptual, pendekatan ini berawal dari pandangan-pandangan dan doktrin-doktrin yang berkembang di dalam ilmu hukum, lalu ditemukan ide-ide yang melahirkan pengertian hukum, konsep-konsep hukum, dan asas-asas yang relevan dengan permasalahan yang diteliti, serta dalam pendekatan konsep tersebut peneliti membuat argumentasi hukum dalam menjawab permasalahan hukum yang diajukan” </w:t>
      </w:r>
      <w:r w:rsidR="0029468B" w:rsidRPr="00AC6C38">
        <w:fldChar w:fldCharType="begin" w:fldLock="1"/>
      </w:r>
      <w:r w:rsidR="0029468B" w:rsidRPr="00AC6C38">
        <w:instrText>ADDIN CSL_CITATION {"citationItems":[{"id":"ITEM-1","itemData":{"author":[{"dropping-particle":"","family":"Fajar","given":"Mukti","non-dropping-particle":"","parse-names":false,"suffix":""},{"dropping-particle":"","family":"Achmad","given":"Yulianto","non-dropping-particle":"","parse-names":false,"suffix":""}],"edition":"Cetakan IV","id":"ITEM-1","issued":{"date-parts":[["2017"]]},"number-of-pages":"36","publisher":"Pustaka Pelajar","publisher-place":"Yogyakarta","title":"Dualisme Penelitian Hukum Normatif dan Empiris","type":"book"},"uris":["http://www.mendeley.com/documents/?uuid=eb403ec5-aa59-4975-a46b-53c5b105035b","http://www.mendeley.com/documents/?uuid=99f0de13-3b13-4240-9ba5-5fb934600500"]}],"mendeley":{"formattedCitation":"(Fajar &amp; Achmad, 2017)","plainTextFormattedCitation":"(Fajar &amp; Achmad, 2017)","previouslyFormattedCitation":"(Fajar &amp; Achmad, 2017)"},"properties":{"noteIndex":0},"schema":"https://github.com/citation-style-language/schema/raw/master/csl-citation.json"}</w:instrText>
      </w:r>
      <w:r w:rsidR="0029468B" w:rsidRPr="00AC6C38">
        <w:fldChar w:fldCharType="separate"/>
      </w:r>
      <w:r w:rsidR="0029468B" w:rsidRPr="00AC6C38">
        <w:t>(Fajar &amp; Achmad, 2017)</w:t>
      </w:r>
      <w:r w:rsidR="0029468B" w:rsidRPr="00AC6C38">
        <w:fldChar w:fldCharType="end"/>
      </w:r>
      <w:r w:rsidR="00A45B2D" w:rsidRPr="00AC6C38">
        <w:rPr>
          <w:lang w:val="id-ID"/>
        </w:rPr>
        <w:t>.</w:t>
      </w:r>
    </w:p>
    <w:p w14:paraId="20227D33" w14:textId="6D9020D8" w:rsidR="00E3593D" w:rsidRPr="00AC6C38" w:rsidRDefault="007D6270" w:rsidP="00E50CE0">
      <w:pPr>
        <w:pStyle w:val="ListParagraph"/>
        <w:spacing w:after="0" w:line="276" w:lineRule="auto"/>
        <w:ind w:left="0" w:firstLine="567"/>
        <w:jc w:val="both"/>
        <w:rPr>
          <w:rFonts w:ascii="Times New Roman" w:hAnsi="Times New Roman"/>
          <w:sz w:val="20"/>
          <w:szCs w:val="20"/>
        </w:rPr>
      </w:pPr>
      <w:r w:rsidRPr="00AC6C38">
        <w:rPr>
          <w:rFonts w:ascii="Times New Roman" w:hAnsi="Times New Roman"/>
          <w:sz w:val="20"/>
          <w:szCs w:val="20"/>
        </w:rPr>
        <w:t xml:space="preserve">Mengenai bahan hukum pada penelitian ini menggunakan bahan hukum primer </w:t>
      </w:r>
      <w:r w:rsidR="00500D94" w:rsidRPr="00AC6C38">
        <w:rPr>
          <w:rFonts w:ascii="Times New Roman" w:hAnsi="Times New Roman"/>
          <w:sz w:val="20"/>
          <w:szCs w:val="20"/>
        </w:rPr>
        <w:t>“</w:t>
      </w:r>
      <w:r w:rsidR="004E096B" w:rsidRPr="00AC6C38">
        <w:rPr>
          <w:rFonts w:ascii="Times New Roman" w:hAnsi="Times New Roman"/>
          <w:sz w:val="20"/>
          <w:szCs w:val="20"/>
        </w:rPr>
        <w:t>Bahan hukum primer bersumber dari peraturan perundang-undangan, catatan-catatan resmi atau risalah dalam pembuatan perundang-undangan, dan putusan-putusan hakim</w:t>
      </w:r>
      <w:r w:rsidR="00500D94" w:rsidRPr="00AC6C38">
        <w:rPr>
          <w:rFonts w:ascii="Times New Roman" w:hAnsi="Times New Roman"/>
          <w:sz w:val="20"/>
          <w:szCs w:val="20"/>
        </w:rPr>
        <w:t>”</w:t>
      </w:r>
      <w:r w:rsidR="004E096B" w:rsidRPr="00AC6C38">
        <w:rPr>
          <w:rFonts w:ascii="Times New Roman" w:hAnsi="Times New Roman"/>
          <w:sz w:val="20"/>
          <w:szCs w:val="20"/>
        </w:rPr>
        <w:t xml:space="preserve"> </w:t>
      </w:r>
      <w:r w:rsidR="004E096B" w:rsidRPr="00AC6C38">
        <w:rPr>
          <w:rFonts w:ascii="Times New Roman" w:hAnsi="Times New Roman"/>
          <w:sz w:val="20"/>
          <w:szCs w:val="20"/>
        </w:rPr>
        <w:fldChar w:fldCharType="begin" w:fldLock="1"/>
      </w:r>
      <w:r w:rsidR="00794F2E" w:rsidRPr="00AC6C38">
        <w:rPr>
          <w:rFonts w:ascii="Times New Roman" w:hAnsi="Times New Roman"/>
          <w:sz w:val="20"/>
          <w:szCs w:val="20"/>
        </w:rPr>
        <w:instrText>ADDIN CSL_CITATION {"citationItems":[{"id":"ITEM-1","itemData":{"author":[{"dropping-particle":"","family":"Marzuki","given":"Peter Mahmud","non-dropping-particle":"","parse-names":false,"suffix":""}],"id":"ITEM-1","issued":{"date-parts":[["2016"]]},"publisher":"Prenadamedia Group","publisher-place":"Jakarta","title":"Penelitian Hukum Edisi Revisi","type":"book"},"uris":["http://www.mendeley.com/documents/?uuid=ac0bc928-0a59-4d93-8c90-8c8ab7f3e17a","http://www.mendeley.com/documents/?uuid=d0e6a6d8-492d-4dda-bd0a-47bae24fa4c8"]}],"mendeley":{"formattedCitation":"(Marzuki, 2016)","plainTextFormattedCitation":"(Marzuki, 2016)","previouslyFormattedCitation":"(Marzuki, 2016)"},"properties":{"noteIndex":0},"schema":"https://github.com/citation-style-language/schema/raw/master/csl-citation.json"}</w:instrText>
      </w:r>
      <w:r w:rsidR="004E096B" w:rsidRPr="00AC6C38">
        <w:rPr>
          <w:rFonts w:ascii="Times New Roman" w:hAnsi="Times New Roman"/>
          <w:sz w:val="20"/>
          <w:szCs w:val="20"/>
        </w:rPr>
        <w:fldChar w:fldCharType="separate"/>
      </w:r>
      <w:r w:rsidR="00794F2E" w:rsidRPr="00AC6C38">
        <w:rPr>
          <w:rFonts w:ascii="Times New Roman" w:hAnsi="Times New Roman"/>
          <w:sz w:val="20"/>
          <w:szCs w:val="20"/>
        </w:rPr>
        <w:t>(Marzuki, 2016)</w:t>
      </w:r>
      <w:r w:rsidR="004E096B" w:rsidRPr="00AC6C38">
        <w:rPr>
          <w:rFonts w:ascii="Times New Roman" w:hAnsi="Times New Roman"/>
          <w:sz w:val="20"/>
          <w:szCs w:val="20"/>
        </w:rPr>
        <w:fldChar w:fldCharType="end"/>
      </w:r>
      <w:r w:rsidR="004E096B" w:rsidRPr="00AC6C38">
        <w:rPr>
          <w:rFonts w:ascii="Times New Roman" w:hAnsi="Times New Roman"/>
          <w:sz w:val="20"/>
          <w:szCs w:val="20"/>
        </w:rPr>
        <w:t>. Bahan</w:t>
      </w:r>
      <w:r w:rsidR="00F10D06" w:rsidRPr="00AC6C38">
        <w:rPr>
          <w:rFonts w:ascii="Times New Roman" w:hAnsi="Times New Roman"/>
          <w:sz w:val="20"/>
          <w:szCs w:val="20"/>
        </w:rPr>
        <w:t xml:space="preserve"> hukum primer </w:t>
      </w:r>
      <w:r w:rsidR="004E096B" w:rsidRPr="00AC6C38">
        <w:rPr>
          <w:rFonts w:ascii="Times New Roman" w:hAnsi="Times New Roman"/>
          <w:sz w:val="20"/>
          <w:szCs w:val="20"/>
        </w:rPr>
        <w:t xml:space="preserve">yang digunakan dalam penelitian ini </w:t>
      </w:r>
      <w:r w:rsidR="00F10D06" w:rsidRPr="00AC6C38">
        <w:rPr>
          <w:rFonts w:ascii="Times New Roman" w:hAnsi="Times New Roman"/>
          <w:sz w:val="20"/>
          <w:szCs w:val="20"/>
        </w:rPr>
        <w:t xml:space="preserve">yaitu bahan hukum yang mengikat seperti </w:t>
      </w:r>
      <w:r w:rsidRPr="00AC6C38">
        <w:rPr>
          <w:rFonts w:ascii="Times New Roman" w:hAnsi="Times New Roman"/>
          <w:sz w:val="20"/>
          <w:szCs w:val="20"/>
        </w:rPr>
        <w:t>“</w:t>
      </w:r>
      <w:r w:rsidR="00F10D06" w:rsidRPr="00AC6C38">
        <w:rPr>
          <w:rFonts w:ascii="Times New Roman" w:hAnsi="Times New Roman"/>
          <w:sz w:val="20"/>
          <w:szCs w:val="20"/>
        </w:rPr>
        <w:t>Undang-Undang Negara Republik Indonesia Tahun 1945, Kitab Undang-Undang Hukum</w:t>
      </w:r>
      <w:r w:rsidR="00C636D8" w:rsidRPr="00AC6C38">
        <w:rPr>
          <w:rFonts w:ascii="Times New Roman" w:hAnsi="Times New Roman"/>
          <w:sz w:val="20"/>
          <w:szCs w:val="20"/>
        </w:rPr>
        <w:t xml:space="preserve"> Perdata, </w:t>
      </w:r>
      <w:r w:rsidR="00F10D06" w:rsidRPr="00AC6C38">
        <w:rPr>
          <w:rFonts w:ascii="Times New Roman" w:hAnsi="Times New Roman"/>
          <w:sz w:val="20"/>
          <w:szCs w:val="20"/>
        </w:rPr>
        <w:t>Undang-Undang Nomor 8 Tahun 1999 tentang Perlindungan Konsumen</w:t>
      </w:r>
      <w:r w:rsidR="00E3593D" w:rsidRPr="00AC6C38">
        <w:rPr>
          <w:rFonts w:ascii="Times New Roman" w:hAnsi="Times New Roman"/>
          <w:sz w:val="20"/>
          <w:szCs w:val="20"/>
        </w:rPr>
        <w:t>. B</w:t>
      </w:r>
      <w:r w:rsidRPr="00AC6C38">
        <w:rPr>
          <w:rFonts w:ascii="Times New Roman" w:hAnsi="Times New Roman"/>
          <w:sz w:val="20"/>
          <w:szCs w:val="20"/>
        </w:rPr>
        <w:t xml:space="preserve">ahan hukum sekunder, </w:t>
      </w:r>
      <w:r w:rsidR="00500D94" w:rsidRPr="00AC6C38">
        <w:rPr>
          <w:rFonts w:ascii="Times New Roman" w:hAnsi="Times New Roman"/>
          <w:sz w:val="20"/>
          <w:szCs w:val="20"/>
        </w:rPr>
        <w:t>“</w:t>
      </w:r>
      <w:r w:rsidR="004E096B" w:rsidRPr="00AC6C38">
        <w:rPr>
          <w:rFonts w:ascii="Times New Roman" w:hAnsi="Times New Roman"/>
          <w:sz w:val="20"/>
          <w:szCs w:val="20"/>
        </w:rPr>
        <w:t>Bahan hukum sekunder, berupa semua publikasi tentang hukum yang bukan merupakan dokumen-dokumen resmi</w:t>
      </w:r>
      <w:r w:rsidR="00500D94" w:rsidRPr="00AC6C38">
        <w:rPr>
          <w:rFonts w:ascii="Times New Roman" w:hAnsi="Times New Roman"/>
          <w:sz w:val="20"/>
          <w:szCs w:val="20"/>
        </w:rPr>
        <w:t>”</w:t>
      </w:r>
      <w:r w:rsidR="004E096B" w:rsidRPr="00AC6C38">
        <w:rPr>
          <w:rFonts w:ascii="Times New Roman" w:hAnsi="Times New Roman"/>
          <w:sz w:val="20"/>
          <w:szCs w:val="20"/>
        </w:rPr>
        <w:t xml:space="preserve"> </w:t>
      </w:r>
      <w:r w:rsidR="004E096B" w:rsidRPr="00AC6C38">
        <w:rPr>
          <w:rFonts w:ascii="Times New Roman" w:hAnsi="Times New Roman"/>
          <w:sz w:val="20"/>
          <w:szCs w:val="20"/>
        </w:rPr>
        <w:fldChar w:fldCharType="begin" w:fldLock="1"/>
      </w:r>
      <w:r w:rsidR="00794F2E" w:rsidRPr="00AC6C38">
        <w:rPr>
          <w:rFonts w:ascii="Times New Roman" w:hAnsi="Times New Roman"/>
          <w:sz w:val="20"/>
          <w:szCs w:val="20"/>
        </w:rPr>
        <w:instrText>ADDIN CSL_CITATION {"citationItems":[{"id":"ITEM-1","itemData":{"author":[{"dropping-particle":"","family":"Marzuki","given":"Peter Mahmud","non-dropping-particle":"","parse-names":false,"suffix":""}],"id":"ITEM-1","issued":{"date-parts":[["2016"]]},"publisher":"Prenadamedia Group","publisher-place":"Jakarta","title":"Penelitian Hukum Edisi Revisi","type":"book"},"uris":["http://www.mendeley.com/documents/?uuid=d0e6a6d8-492d-4dda-bd0a-47bae24fa4c8","http://www.mendeley.com/documents/?uuid=ac0bc928-0a59-4d93-8c90-8c8ab7f3e17a"]}],"mendeley":{"formattedCitation":"(Marzuki, 2016)","plainTextFormattedCitation":"(Marzuki, 2016)","previouslyFormattedCitation":"(Marzuki, 2016)"},"properties":{"noteIndex":0},"schema":"https://github.com/citation-style-language/schema/raw/master/csl-citation.json"}</w:instrText>
      </w:r>
      <w:r w:rsidR="004E096B" w:rsidRPr="00AC6C38">
        <w:rPr>
          <w:rFonts w:ascii="Times New Roman" w:hAnsi="Times New Roman"/>
          <w:sz w:val="20"/>
          <w:szCs w:val="20"/>
        </w:rPr>
        <w:fldChar w:fldCharType="separate"/>
      </w:r>
      <w:r w:rsidR="00794F2E" w:rsidRPr="00AC6C38">
        <w:rPr>
          <w:rFonts w:ascii="Times New Roman" w:hAnsi="Times New Roman"/>
          <w:sz w:val="20"/>
          <w:szCs w:val="20"/>
        </w:rPr>
        <w:t>(Marzuki, 2016)</w:t>
      </w:r>
      <w:r w:rsidR="004E096B" w:rsidRPr="00AC6C38">
        <w:rPr>
          <w:rFonts w:ascii="Times New Roman" w:hAnsi="Times New Roman"/>
          <w:sz w:val="20"/>
          <w:szCs w:val="20"/>
        </w:rPr>
        <w:fldChar w:fldCharType="end"/>
      </w:r>
      <w:r w:rsidR="004E096B" w:rsidRPr="00AC6C38">
        <w:rPr>
          <w:rFonts w:ascii="Times New Roman" w:hAnsi="Times New Roman"/>
          <w:sz w:val="20"/>
          <w:szCs w:val="20"/>
        </w:rPr>
        <w:t xml:space="preserve">. </w:t>
      </w:r>
      <w:r w:rsidRPr="00AC6C38">
        <w:rPr>
          <w:rFonts w:ascii="Times New Roman" w:hAnsi="Times New Roman"/>
          <w:sz w:val="20"/>
          <w:szCs w:val="20"/>
        </w:rPr>
        <w:t xml:space="preserve">Bahan hukum sekunder yang digunakan adalah buku hukum dan penelitian hukum yang memang mempunyai hubungan dengan </w:t>
      </w:r>
      <w:r w:rsidR="004E096B" w:rsidRPr="00AC6C38">
        <w:rPr>
          <w:rFonts w:ascii="Times New Roman" w:hAnsi="Times New Roman"/>
          <w:sz w:val="20"/>
          <w:szCs w:val="20"/>
        </w:rPr>
        <w:t>penelitian yang diteliti yaitu adanya pengalihan tanggung jawab pada klausula baku aplikasi</w:t>
      </w:r>
      <w:r w:rsidR="00CC43A4" w:rsidRPr="00AC6C38">
        <w:rPr>
          <w:rFonts w:ascii="Times New Roman" w:hAnsi="Times New Roman"/>
          <w:i/>
          <w:iCs/>
          <w:sz w:val="20"/>
          <w:szCs w:val="20"/>
        </w:rPr>
        <w:t xml:space="preserve"> RedDoorz</w:t>
      </w:r>
      <w:r w:rsidR="004E096B" w:rsidRPr="00AC6C38">
        <w:rPr>
          <w:rFonts w:ascii="Times New Roman" w:hAnsi="Times New Roman"/>
          <w:sz w:val="20"/>
          <w:szCs w:val="20"/>
        </w:rPr>
        <w:t>.</w:t>
      </w:r>
      <w:r w:rsidR="00E3593D" w:rsidRPr="00AC6C38">
        <w:rPr>
          <w:rFonts w:ascii="Times New Roman" w:hAnsi="Times New Roman"/>
          <w:sz w:val="20"/>
          <w:szCs w:val="20"/>
        </w:rPr>
        <w:t xml:space="preserve"> Peneliti menggunakan bahan non hukum berupa jurnal-jurnal non-hukum yang berkaitan dengan pemesanan hotel melalui aplikasi </w:t>
      </w:r>
      <w:r w:rsidR="00E3593D" w:rsidRPr="00AC6C38">
        <w:rPr>
          <w:rFonts w:ascii="Times New Roman" w:hAnsi="Times New Roman"/>
          <w:i/>
          <w:iCs/>
          <w:sz w:val="20"/>
          <w:szCs w:val="20"/>
        </w:rPr>
        <w:t>RedDoorz</w:t>
      </w:r>
      <w:r w:rsidR="00FF4CEA" w:rsidRPr="00AC6C38">
        <w:rPr>
          <w:rFonts w:ascii="Times New Roman" w:hAnsi="Times New Roman"/>
          <w:sz w:val="20"/>
          <w:szCs w:val="20"/>
        </w:rPr>
        <w:t xml:space="preserve"> </w:t>
      </w:r>
      <w:r w:rsidR="00FF4CEA" w:rsidRPr="00AC6C38">
        <w:rPr>
          <w:rFonts w:ascii="Times New Roman" w:hAnsi="Times New Roman"/>
          <w:sz w:val="20"/>
          <w:szCs w:val="20"/>
          <w:lang w:val="en-US"/>
        </w:rPr>
        <w:t xml:space="preserve">dan syarat dan ketentuan </w:t>
      </w:r>
      <w:r w:rsidR="00FF4CEA" w:rsidRPr="00AC6C38">
        <w:rPr>
          <w:rFonts w:ascii="Times New Roman" w:hAnsi="Times New Roman"/>
          <w:i/>
          <w:iCs/>
          <w:sz w:val="20"/>
          <w:szCs w:val="20"/>
          <w:lang w:val="en-US"/>
        </w:rPr>
        <w:t>Reddoorz</w:t>
      </w:r>
      <w:r w:rsidR="00FF4CEA" w:rsidRPr="00AC6C38">
        <w:rPr>
          <w:rFonts w:ascii="Times New Roman" w:hAnsi="Times New Roman"/>
          <w:sz w:val="20"/>
          <w:szCs w:val="20"/>
          <w:lang w:val="en-US"/>
        </w:rPr>
        <w:t xml:space="preserve"> </w:t>
      </w:r>
      <w:r w:rsidR="00FF4CEA" w:rsidRPr="00AC6C38">
        <w:rPr>
          <w:rFonts w:ascii="Times New Roman" w:hAnsi="Times New Roman"/>
          <w:noProof/>
          <w:sz w:val="20"/>
          <w:szCs w:val="20"/>
          <w:lang w:val="en-US"/>
        </w:rPr>
        <w:t xml:space="preserve"> </w:t>
      </w:r>
      <w:r w:rsidR="00FF4CEA" w:rsidRPr="00AC6C38">
        <w:rPr>
          <w:rFonts w:ascii="Times New Roman" w:hAnsi="Times New Roman"/>
          <w:noProof/>
          <w:sz w:val="20"/>
          <w:szCs w:val="20"/>
          <w:lang w:val="en-US"/>
        </w:rPr>
        <w:fldChar w:fldCharType="begin" w:fldLock="1"/>
      </w:r>
      <w:r w:rsidR="00FF4CEA" w:rsidRPr="00AC6C38">
        <w:rPr>
          <w:rFonts w:ascii="Times New Roman" w:hAnsi="Times New Roman"/>
          <w:noProof/>
          <w:sz w:val="20"/>
          <w:szCs w:val="20"/>
          <w:lang w:val="en-US"/>
        </w:rPr>
        <w:instrText>ADDIN CSL_CITATION {"citationItems":[{"id":"ITEM-1","itemData":{"URL":"https://www.reddoorz.com/id-id/terms","author":[{"dropping-particle":"","family":"RedDoorz","given":"","non-dropping-particle":"","parse-names":false,"suffix":""}],"id":"ITEM-1","issued":{"date-parts":[["0"]]},"title":"syarat dan ketentuan","type":"webpage"},"uris":["http://www.mendeley.com/documents/?uuid=87dc3f47-3160-47e9-8afe-1ce7af7d264a"]}],"mendeley":{"formattedCitation":"(RedDoorz, n.d.)","plainTextFormattedCitation":"(RedDoorz, n.d.)","previouslyFormattedCitation":"(RedDoorz, n.d.)"},"properties":{"noteIndex":0},"schema":"https://github.com/citation-style-language/schema/raw/master/csl-citation.json"}</w:instrText>
      </w:r>
      <w:r w:rsidR="00FF4CEA" w:rsidRPr="00AC6C38">
        <w:rPr>
          <w:rFonts w:ascii="Times New Roman" w:hAnsi="Times New Roman"/>
          <w:noProof/>
          <w:sz w:val="20"/>
          <w:szCs w:val="20"/>
          <w:lang w:val="en-US"/>
        </w:rPr>
        <w:fldChar w:fldCharType="separate"/>
      </w:r>
      <w:r w:rsidR="00FF4CEA" w:rsidRPr="00AC6C38">
        <w:rPr>
          <w:rFonts w:ascii="Times New Roman" w:hAnsi="Times New Roman"/>
          <w:noProof/>
          <w:sz w:val="20"/>
          <w:szCs w:val="20"/>
          <w:lang w:val="en-US"/>
        </w:rPr>
        <w:t>(</w:t>
      </w:r>
      <w:r w:rsidR="00FF4CEA" w:rsidRPr="00AC6C38">
        <w:rPr>
          <w:rFonts w:ascii="Times New Roman" w:hAnsi="Times New Roman"/>
          <w:i/>
          <w:iCs/>
          <w:noProof/>
          <w:sz w:val="20"/>
          <w:szCs w:val="20"/>
          <w:lang w:val="en-US"/>
        </w:rPr>
        <w:t>RedDoorz</w:t>
      </w:r>
      <w:r w:rsidR="00FF4CEA" w:rsidRPr="00AC6C38">
        <w:rPr>
          <w:rFonts w:ascii="Times New Roman" w:hAnsi="Times New Roman"/>
          <w:noProof/>
          <w:sz w:val="20"/>
          <w:szCs w:val="20"/>
          <w:lang w:val="en-US"/>
        </w:rPr>
        <w:t>, n.d.)</w:t>
      </w:r>
      <w:r w:rsidR="00FF4CEA" w:rsidRPr="00AC6C38">
        <w:rPr>
          <w:rFonts w:ascii="Times New Roman" w:hAnsi="Times New Roman"/>
          <w:noProof/>
          <w:sz w:val="20"/>
          <w:szCs w:val="20"/>
          <w:lang w:val="en-US"/>
        </w:rPr>
        <w:fldChar w:fldCharType="end"/>
      </w:r>
      <w:r w:rsidR="00FF4CEA" w:rsidRPr="00AC6C38">
        <w:rPr>
          <w:rFonts w:ascii="Times New Roman" w:hAnsi="Times New Roman"/>
          <w:noProof/>
          <w:sz w:val="20"/>
          <w:szCs w:val="20"/>
        </w:rPr>
        <w:t>.</w:t>
      </w:r>
    </w:p>
    <w:p w14:paraId="5C396188" w14:textId="433840E8" w:rsidR="003C750F" w:rsidRPr="00AC6C38" w:rsidRDefault="004E639C" w:rsidP="00E50CE0">
      <w:pPr>
        <w:pStyle w:val="ListParagraph"/>
        <w:spacing w:after="0" w:line="276" w:lineRule="auto"/>
        <w:ind w:left="0" w:firstLine="567"/>
        <w:jc w:val="both"/>
        <w:rPr>
          <w:rFonts w:ascii="Times New Roman" w:hAnsi="Times New Roman"/>
          <w:sz w:val="20"/>
          <w:szCs w:val="20"/>
        </w:rPr>
      </w:pPr>
      <w:r w:rsidRPr="00AC6C38">
        <w:rPr>
          <w:rFonts w:ascii="Times New Roman" w:hAnsi="Times New Roman"/>
          <w:sz w:val="20"/>
          <w:szCs w:val="20"/>
        </w:rPr>
        <w:t>Penelitian ini menggunakan teknik pengumpulan data dalam membuat kesimpulan yang dilakukan dengan memperbanyak bacaan dari pustaka bahan hukum primer, sekunder</w:t>
      </w:r>
      <w:r w:rsidR="003C750F" w:rsidRPr="00AC6C38">
        <w:rPr>
          <w:rFonts w:ascii="Times New Roman" w:hAnsi="Times New Roman"/>
          <w:sz w:val="20"/>
          <w:szCs w:val="20"/>
        </w:rPr>
        <w:t xml:space="preserve"> maupun bahan non hukum seperti beri</w:t>
      </w:r>
      <w:r w:rsidR="005F6D06" w:rsidRPr="00AC6C38">
        <w:rPr>
          <w:rFonts w:ascii="Times New Roman" w:hAnsi="Times New Roman"/>
          <w:sz w:val="20"/>
          <w:szCs w:val="20"/>
        </w:rPr>
        <w:t>t</w:t>
      </w:r>
      <w:r w:rsidR="003C750F" w:rsidRPr="00AC6C38">
        <w:rPr>
          <w:rFonts w:ascii="Times New Roman" w:hAnsi="Times New Roman"/>
          <w:sz w:val="20"/>
          <w:szCs w:val="20"/>
        </w:rPr>
        <w:t>a. Teknik ini dilakukan dengan mencari peraturan yang cocok dan mempunyai keterikatan dengan pembahasan pada penelitian ini lalu membaca buku serta literatur terkait, lalu melakukan analisa terhadap bahan yang telah dibaca. Analisa bahan hukum ini menggunakan sebuah teknik preskriptif yang mempunyai arti memberikan sebuah preskripsi atau suatu penilaian mengenai benar atau salah yang memiliki fakta hukum pada peristiwa tersebut atau diambil dari hasil penelitian yang telah dibuat</w:t>
      </w:r>
      <w:r w:rsidR="00F10D06" w:rsidRPr="00AC6C38">
        <w:rPr>
          <w:rFonts w:ascii="Times New Roman" w:hAnsi="Times New Roman"/>
          <w:sz w:val="20"/>
          <w:szCs w:val="20"/>
        </w:rPr>
        <w:t xml:space="preserve"> </w:t>
      </w:r>
      <w:r w:rsidR="00500D94" w:rsidRPr="00AC6C38">
        <w:rPr>
          <w:rFonts w:ascii="Times New Roman" w:hAnsi="Times New Roman"/>
          <w:sz w:val="20"/>
          <w:szCs w:val="20"/>
          <w:lang w:val="en-US"/>
        </w:rPr>
        <w:t>“</w:t>
      </w:r>
      <w:r w:rsidR="00F10D06" w:rsidRPr="00AC6C38">
        <w:rPr>
          <w:rFonts w:ascii="Times New Roman" w:hAnsi="Times New Roman"/>
          <w:sz w:val="20"/>
          <w:szCs w:val="20"/>
        </w:rPr>
        <w:t xml:space="preserve">Penelitian menggunakan metode preskriptif bertujuan untuk memberikan penjelasan atau gambaran terhadap masalah </w:t>
      </w:r>
      <w:r w:rsidR="00F10D06" w:rsidRPr="00AC6C38">
        <w:rPr>
          <w:rFonts w:ascii="Times New Roman" w:hAnsi="Times New Roman"/>
          <w:sz w:val="20"/>
          <w:szCs w:val="20"/>
        </w:rPr>
        <w:lastRenderedPageBreak/>
        <w:t>hukum yang sedang diteliti. Penggunaan metode preskriptif</w:t>
      </w:r>
      <w:r w:rsidR="00500D94" w:rsidRPr="00AC6C38">
        <w:rPr>
          <w:rFonts w:ascii="Times New Roman" w:hAnsi="Times New Roman"/>
          <w:sz w:val="20"/>
          <w:szCs w:val="20"/>
          <w:lang w:val="en-US"/>
        </w:rPr>
        <w:t>”</w:t>
      </w:r>
      <w:r w:rsidR="00810D83" w:rsidRPr="00AC6C38">
        <w:rPr>
          <w:rFonts w:ascii="Times New Roman" w:hAnsi="Times New Roman"/>
          <w:sz w:val="20"/>
          <w:szCs w:val="20"/>
        </w:rPr>
        <w:t xml:space="preserve"> </w:t>
      </w:r>
      <w:r w:rsidR="00810D83" w:rsidRPr="00AC6C38">
        <w:rPr>
          <w:rFonts w:ascii="Times New Roman" w:hAnsi="Times New Roman"/>
          <w:sz w:val="20"/>
          <w:szCs w:val="20"/>
        </w:rPr>
        <w:fldChar w:fldCharType="begin" w:fldLock="1"/>
      </w:r>
      <w:r w:rsidR="00794F2E" w:rsidRPr="00AC6C38">
        <w:rPr>
          <w:rFonts w:ascii="Times New Roman" w:hAnsi="Times New Roman"/>
          <w:sz w:val="20"/>
          <w:szCs w:val="20"/>
        </w:rPr>
        <w:instrText>ADDIN CSL_CITATION {"citationItems":[{"id":"ITEM-1","itemData":{"author":[{"dropping-particle":"","family":"Asikin","given":"Zainal","non-dropping-particle":"","parse-names":false,"suffix":""}],"id":"ITEM-1","issued":{"date-parts":[["2004"]]},"number-of-pages":"92","publisher":"raja grafindo persada","publisher-place":"Jakarta","title":"pengantar metode penelitian hukum","type":"book"},"uris":["http://www.mendeley.com/documents/?uuid=e95a97da-5505-4364-9dd7-4efae53c2bd4"]}],"mendeley":{"formattedCitation":"(Asikin, 2004)","manualFormatting":"(Asikin, 2004:55)","plainTextFormattedCitation":"(Asikin, 2004)","previouslyFormattedCitation":"(Asikin, 2004)"},"properties":{"noteIndex":0},"schema":"https://github.com/citation-style-language/schema/raw/master/csl-citation.json"}</w:instrText>
      </w:r>
      <w:r w:rsidR="00810D83" w:rsidRPr="00AC6C38">
        <w:rPr>
          <w:rFonts w:ascii="Times New Roman" w:hAnsi="Times New Roman"/>
          <w:sz w:val="20"/>
          <w:szCs w:val="20"/>
        </w:rPr>
        <w:fldChar w:fldCharType="separate"/>
      </w:r>
      <w:r w:rsidR="00810D83" w:rsidRPr="00AC6C38">
        <w:rPr>
          <w:rFonts w:ascii="Times New Roman" w:hAnsi="Times New Roman"/>
          <w:noProof/>
          <w:sz w:val="20"/>
          <w:szCs w:val="20"/>
        </w:rPr>
        <w:t>(Asikin, 2004</w:t>
      </w:r>
      <w:r w:rsidR="00D23E8A" w:rsidRPr="00AC6C38">
        <w:rPr>
          <w:rFonts w:ascii="Times New Roman" w:hAnsi="Times New Roman"/>
          <w:noProof/>
          <w:sz w:val="20"/>
          <w:szCs w:val="20"/>
        </w:rPr>
        <w:t>:55</w:t>
      </w:r>
      <w:r w:rsidR="00810D83" w:rsidRPr="00AC6C38">
        <w:rPr>
          <w:rFonts w:ascii="Times New Roman" w:hAnsi="Times New Roman"/>
          <w:noProof/>
          <w:sz w:val="20"/>
          <w:szCs w:val="20"/>
        </w:rPr>
        <w:t>)</w:t>
      </w:r>
      <w:r w:rsidR="00810D83" w:rsidRPr="00AC6C38">
        <w:rPr>
          <w:rFonts w:ascii="Times New Roman" w:hAnsi="Times New Roman"/>
          <w:sz w:val="20"/>
          <w:szCs w:val="20"/>
        </w:rPr>
        <w:fldChar w:fldCharType="end"/>
      </w:r>
      <w:r w:rsidR="00F10D06" w:rsidRPr="00AC6C38">
        <w:rPr>
          <w:rFonts w:ascii="Times New Roman" w:hAnsi="Times New Roman"/>
          <w:sz w:val="20"/>
          <w:szCs w:val="20"/>
        </w:rPr>
        <w:t xml:space="preserve"> </w:t>
      </w:r>
      <w:r w:rsidR="003C750F" w:rsidRPr="00AC6C38">
        <w:rPr>
          <w:rFonts w:ascii="Times New Roman" w:hAnsi="Times New Roman"/>
          <w:sz w:val="20"/>
          <w:szCs w:val="20"/>
        </w:rPr>
        <w:t xml:space="preserve">peneliti juga mengemukakan argumen atau pendapat yang dimiliki pada hasil penelitian yang akan dituliskan, adanya pendapat ini untuk memberikan sebuah gambaran hasil dari penelitian yang telah dilakukan dan disandingkan dengan bacaan yang telah dibaca pada kegiatan analisa bahan hukum untuk mencapai sebuah kesimpulan. </w:t>
      </w:r>
    </w:p>
    <w:p w14:paraId="09F8B05B" w14:textId="77777777" w:rsidR="000D0AB8" w:rsidRPr="00AC6C38" w:rsidRDefault="000D0AB8" w:rsidP="00E50CE0">
      <w:pPr>
        <w:spacing w:line="276" w:lineRule="auto"/>
        <w:jc w:val="both"/>
        <w:rPr>
          <w:b/>
          <w:lang w:val="id-ID"/>
        </w:rPr>
      </w:pPr>
    </w:p>
    <w:p w14:paraId="24925692" w14:textId="1D0C6786" w:rsidR="00810D83" w:rsidRPr="00AC6C38" w:rsidRDefault="00883C57" w:rsidP="00E50CE0">
      <w:pPr>
        <w:spacing w:line="276" w:lineRule="auto"/>
        <w:jc w:val="both"/>
        <w:rPr>
          <w:b/>
          <w:lang w:val="id-ID"/>
        </w:rPr>
      </w:pPr>
      <w:r w:rsidRPr="00AC6C38">
        <w:rPr>
          <w:b/>
          <w:lang w:val="id-ID"/>
        </w:rPr>
        <w:t>HASIL</w:t>
      </w:r>
      <w:r w:rsidR="00D17525" w:rsidRPr="00AC6C38">
        <w:rPr>
          <w:b/>
          <w:lang w:val="id-ID"/>
        </w:rPr>
        <w:t xml:space="preserve"> dan</w:t>
      </w:r>
      <w:r w:rsidRPr="00AC6C38">
        <w:rPr>
          <w:b/>
          <w:lang w:val="id-ID"/>
        </w:rPr>
        <w:t xml:space="preserve"> PEMBAHASAN</w:t>
      </w:r>
    </w:p>
    <w:p w14:paraId="1D0FEBC5" w14:textId="718C1354" w:rsidR="00810D83" w:rsidRPr="00AC6C38" w:rsidRDefault="00D63B0B" w:rsidP="00E50CE0">
      <w:pPr>
        <w:numPr>
          <w:ilvl w:val="0"/>
          <w:numId w:val="30"/>
        </w:numPr>
        <w:spacing w:line="276" w:lineRule="auto"/>
        <w:ind w:left="426" w:hanging="426"/>
        <w:jc w:val="both"/>
        <w:rPr>
          <w:b/>
        </w:rPr>
      </w:pPr>
      <w:r w:rsidRPr="00AC6C38">
        <w:rPr>
          <w:b/>
          <w:lang w:val="id-ID"/>
        </w:rPr>
        <w:t>Perlindungan Hukum Bagi Konsumen Ter</w:t>
      </w:r>
      <w:r w:rsidR="005E4D99" w:rsidRPr="00AC6C38">
        <w:rPr>
          <w:b/>
          <w:lang w:val="id-ID"/>
        </w:rPr>
        <w:t xml:space="preserve">kait </w:t>
      </w:r>
      <w:r w:rsidRPr="00AC6C38">
        <w:rPr>
          <w:b/>
          <w:lang w:val="id-ID"/>
        </w:rPr>
        <w:t xml:space="preserve">Klausula Baku Aplikasi </w:t>
      </w:r>
      <w:r w:rsidRPr="00AC6C38">
        <w:rPr>
          <w:b/>
          <w:i/>
          <w:iCs/>
          <w:lang w:val="id-ID"/>
        </w:rPr>
        <w:t>Reddoorz</w:t>
      </w:r>
    </w:p>
    <w:p w14:paraId="5B959E28" w14:textId="77777777" w:rsidR="005F0BC4" w:rsidRPr="00AC6C38" w:rsidRDefault="005F0BC4" w:rsidP="00E50CE0">
      <w:pPr>
        <w:spacing w:line="276" w:lineRule="auto"/>
        <w:ind w:left="426" w:firstLine="567"/>
        <w:jc w:val="both"/>
      </w:pPr>
      <w:r w:rsidRPr="00AC6C38">
        <w:rPr>
          <w:i/>
          <w:iCs/>
        </w:rPr>
        <w:t>RedDoorz</w:t>
      </w:r>
      <w:r w:rsidRPr="00AC6C38">
        <w:t xml:space="preserve"> adalah perusahaan penyedia hotel </w:t>
      </w:r>
      <w:r w:rsidRPr="00AC6C38">
        <w:rPr>
          <w:i/>
          <w:iCs/>
        </w:rPr>
        <w:t>budget</w:t>
      </w:r>
      <w:r w:rsidRPr="00AC6C38">
        <w:t xml:space="preserve"> secara </w:t>
      </w:r>
      <w:r w:rsidRPr="00AC6C38">
        <w:rPr>
          <w:i/>
          <w:iCs/>
        </w:rPr>
        <w:t>online</w:t>
      </w:r>
      <w:r w:rsidRPr="00AC6C38">
        <w:t xml:space="preserve"> dan merupakan yang terbesar di Indonesia. </w:t>
      </w:r>
      <w:r w:rsidRPr="00AC6C38">
        <w:rPr>
          <w:i/>
          <w:iCs/>
        </w:rPr>
        <w:t>RedDoorz</w:t>
      </w:r>
      <w:r w:rsidRPr="00AC6C38">
        <w:t xml:space="preserve"> didirikan pertama kali pada tahun 2015 di Singapura dengan pendirinya yang bernama Amit Saberwal, bermula dari perjalanan karirnya sebagai seorang </w:t>
      </w:r>
      <w:r w:rsidRPr="00AC6C38">
        <w:rPr>
          <w:i/>
          <w:iCs/>
        </w:rPr>
        <w:t>Chief Business Officer</w:t>
      </w:r>
      <w:r w:rsidRPr="00AC6C38">
        <w:t xml:space="preserve"> di perusahaan </w:t>
      </w:r>
      <w:r w:rsidRPr="00AC6C38">
        <w:rPr>
          <w:i/>
          <w:iCs/>
        </w:rPr>
        <w:t>online travel</w:t>
      </w:r>
      <w:r w:rsidRPr="00AC6C38">
        <w:t xml:space="preserve"> asal India yaitu </w:t>
      </w:r>
      <w:r w:rsidRPr="00AC6C38">
        <w:rPr>
          <w:i/>
          <w:iCs/>
        </w:rPr>
        <w:t>Make My Trip</w:t>
      </w:r>
      <w:r w:rsidRPr="00AC6C38">
        <w:t xml:space="preserve"> dan memiliki pengalaman sebagai </w:t>
      </w:r>
      <w:r w:rsidRPr="00AC6C38">
        <w:rPr>
          <w:i/>
          <w:iCs/>
        </w:rPr>
        <w:t>Sales &amp; Marketing Head</w:t>
      </w:r>
      <w:r w:rsidRPr="00AC6C38">
        <w:t xml:space="preserve"> di </w:t>
      </w:r>
      <w:r w:rsidRPr="00AC6C38">
        <w:rPr>
          <w:i/>
          <w:iCs/>
        </w:rPr>
        <w:t>Park Hotels</w:t>
      </w:r>
      <w:r w:rsidRPr="00AC6C38">
        <w:t xml:space="preserve">, akhirnya dengan berbekal pengalaman tersebut ia memberanikan diri untuk mendirikan </w:t>
      </w:r>
      <w:r w:rsidRPr="00AC6C38">
        <w:rPr>
          <w:i/>
          <w:iCs/>
        </w:rPr>
        <w:t>RedDoorz</w:t>
      </w:r>
      <w:r w:rsidRPr="00AC6C38">
        <w:t xml:space="preserve">. </w:t>
      </w:r>
    </w:p>
    <w:p w14:paraId="50ED900D" w14:textId="77777777" w:rsidR="005F0BC4" w:rsidRPr="00AC6C38" w:rsidRDefault="005F0BC4" w:rsidP="00E50CE0">
      <w:pPr>
        <w:spacing w:line="276" w:lineRule="auto"/>
        <w:ind w:left="426" w:firstLine="567"/>
        <w:jc w:val="both"/>
      </w:pPr>
      <w:r w:rsidRPr="00AC6C38">
        <w:rPr>
          <w:i/>
          <w:iCs/>
        </w:rPr>
        <w:t>RedDoorz</w:t>
      </w:r>
      <w:r w:rsidRPr="00AC6C38">
        <w:t xml:space="preserve"> masuk ke Indonesia pada tahun 2015, dan Indonesia merupakan negara pertama yang dituju sebagai pasar utama. Pada tahun 2016, </w:t>
      </w:r>
      <w:r w:rsidRPr="00AC6C38">
        <w:rPr>
          <w:i/>
          <w:iCs/>
        </w:rPr>
        <w:t>RedDoorz</w:t>
      </w:r>
      <w:r w:rsidRPr="00AC6C38">
        <w:t xml:space="preserve"> melakukan ekspansi ke beberapa kota besar di Indonesia seperti Bandung, Bali, Surabaya, Bogor, Yogyakarta, dan Semarang. Setahun kemudian yakni pada tahun 2017, </w:t>
      </w:r>
      <w:r w:rsidRPr="00AC6C38">
        <w:rPr>
          <w:i/>
          <w:iCs/>
        </w:rPr>
        <w:t>RedDoorz</w:t>
      </w:r>
      <w:r w:rsidRPr="00AC6C38">
        <w:t xml:space="preserve"> melakukan ekspansi di negara Singapura dengan meluncurkan 7 penginapan dan di tahun yang sama </w:t>
      </w:r>
      <w:r w:rsidRPr="00AC6C38">
        <w:rPr>
          <w:i/>
          <w:iCs/>
        </w:rPr>
        <w:t>RedDoorz</w:t>
      </w:r>
      <w:r w:rsidRPr="00AC6C38">
        <w:t xml:space="preserve"> Indonesia telah memiliki 500 penginapan. Pada tahun 2018, </w:t>
      </w:r>
      <w:r w:rsidRPr="00AC6C38">
        <w:rPr>
          <w:i/>
          <w:iCs/>
        </w:rPr>
        <w:t>RedDoorz</w:t>
      </w:r>
      <w:r w:rsidRPr="00AC6C38">
        <w:t xml:space="preserve"> juga melakukan ekspansi ke negara Filipina dan Vietnam, sehingga dalam kurun waktu 3 tahun </w:t>
      </w:r>
      <w:r w:rsidRPr="00AC6C38">
        <w:rPr>
          <w:i/>
          <w:iCs/>
        </w:rPr>
        <w:t>RedDoorz</w:t>
      </w:r>
      <w:r w:rsidRPr="00AC6C38">
        <w:t xml:space="preserve"> telah mampu berdiri di 4 negara. Tidak hanya itu, pada tahun 2019, </w:t>
      </w:r>
      <w:r w:rsidRPr="00AC6C38">
        <w:rPr>
          <w:i/>
          <w:iCs/>
        </w:rPr>
        <w:t>RedDoorz</w:t>
      </w:r>
      <w:r w:rsidRPr="00AC6C38">
        <w:t xml:space="preserve"> Indonesia terus mengalami pertumbuhan yang sangat pesat, hal itu dikarenakan </w:t>
      </w:r>
      <w:r w:rsidRPr="00AC6C38">
        <w:rPr>
          <w:i/>
          <w:iCs/>
        </w:rPr>
        <w:t>RedDoorz</w:t>
      </w:r>
      <w:r w:rsidRPr="00AC6C38">
        <w:t xml:space="preserve"> telah hadir di 50 kota di Indonesia dengan jumlah lebih dari 1.000 </w:t>
      </w:r>
      <w:r w:rsidRPr="00AC6C38">
        <w:rPr>
          <w:i/>
          <w:iCs/>
        </w:rPr>
        <w:t>property</w:t>
      </w:r>
      <w:r w:rsidRPr="00AC6C38">
        <w:t xml:space="preserve"> dan lebih dari 30.000 kamar tersedia.</w:t>
      </w:r>
    </w:p>
    <w:p w14:paraId="2135626D" w14:textId="75F870C1" w:rsidR="002B63CF" w:rsidRPr="00AC6C38" w:rsidRDefault="00BC5FF7" w:rsidP="00E50CE0">
      <w:pPr>
        <w:spacing w:line="276" w:lineRule="auto"/>
        <w:ind w:left="426" w:firstLine="567"/>
        <w:jc w:val="both"/>
        <w:rPr>
          <w:lang w:val="id-ID"/>
        </w:rPr>
      </w:pPr>
      <w:r w:rsidRPr="00AC6C38">
        <w:t xml:space="preserve">Perkembangan transaksi bisnis yang menggunakan aplikasi </w:t>
      </w:r>
      <w:r w:rsidR="004E096B" w:rsidRPr="00AC6C38">
        <w:rPr>
          <w:lang w:val="id-ID"/>
        </w:rPr>
        <w:t>dalam jaringan (</w:t>
      </w:r>
      <w:r w:rsidRPr="00AC6C38">
        <w:t>daring</w:t>
      </w:r>
      <w:r w:rsidR="004E096B" w:rsidRPr="00AC6C38">
        <w:rPr>
          <w:lang w:val="id-ID"/>
        </w:rPr>
        <w:t>)</w:t>
      </w:r>
      <w:r w:rsidRPr="00AC6C38">
        <w:t xml:space="preserve"> tidak terlepas dari laju pertumbuhan internet</w:t>
      </w:r>
      <w:r w:rsidR="002B63CF" w:rsidRPr="00AC6C38">
        <w:rPr>
          <w:lang w:val="id-ID"/>
        </w:rPr>
        <w:t>. K</w:t>
      </w:r>
      <w:r w:rsidRPr="00AC6C38">
        <w:t xml:space="preserve">arena aplikasi daring berjalan diatas jaringan internet. </w:t>
      </w:r>
      <w:r w:rsidR="00500D94" w:rsidRPr="00AC6C38">
        <w:t>“</w:t>
      </w:r>
      <w:r w:rsidRPr="00AC6C38">
        <w:t>Pertumbuhan penggunaan internet yang sedemikian pesatnya merupakan suatu kenyataan yang membuat internet menjadi salah satu media yang efektif bagi perusahaan maupun perorangan untuk memperkenalkan dan menjual produk barang/jasa mereka ke calon p</w:t>
      </w:r>
      <w:r w:rsidR="001242F9" w:rsidRPr="00AC6C38">
        <w:t>embeli/konsumen diseluruh dunia</w:t>
      </w:r>
      <w:r w:rsidR="00500D94" w:rsidRPr="00AC6C38">
        <w:t>”</w:t>
      </w:r>
      <w:r w:rsidR="001242F9" w:rsidRPr="00AC6C38">
        <w:rPr>
          <w:lang w:val="id-ID"/>
        </w:rPr>
        <w:t xml:space="preserve"> </w:t>
      </w:r>
      <w:r w:rsidRPr="00AC6C38">
        <w:fldChar w:fldCharType="begin" w:fldLock="1"/>
      </w:r>
      <w:r w:rsidR="00794F2E" w:rsidRPr="00AC6C38">
        <w:instrText>ADDIN CSL_CITATION {"citationItems":[{"id":"ITEM-1","itemData":{"author":[{"dropping-particle":"","family":"Muhaimin","given":"Muhammad","non-dropping-particle":"","parse-names":false,"suffix":""}],"id":"ITEM-1","issued":{"date-parts":[["2004"]]},"title":"Perjanjian baku (standart contract) dalam kegiatan ekonomi","type":"article-journal"},"uris":["http://www.mendeley.com/documents/?uuid=c9e95b80-e26c-477b-a70d-c920d9e34b45"]}],"mendeley":{"formattedCitation":"(Muhaimin, 2004)","manualFormatting":"(Muhaimin, 2004:87)","plainTextFormattedCitation":"(Muhaimin, 2004)","previouslyFormattedCitation":"(Muhaimin, 2004)"},"properties":{"noteIndex":0},"schema":"https://github.com/citation-style-language/schema/raw/master/csl-citation.json"}</w:instrText>
      </w:r>
      <w:r w:rsidRPr="00AC6C38">
        <w:fldChar w:fldCharType="separate"/>
      </w:r>
      <w:r w:rsidRPr="00AC6C38">
        <w:rPr>
          <w:noProof/>
        </w:rPr>
        <w:t>(Muhaimin, 2004</w:t>
      </w:r>
      <w:r w:rsidR="00D23E8A" w:rsidRPr="00AC6C38">
        <w:rPr>
          <w:noProof/>
          <w:lang w:val="id-ID"/>
        </w:rPr>
        <w:t>:87</w:t>
      </w:r>
      <w:r w:rsidRPr="00AC6C38">
        <w:rPr>
          <w:noProof/>
        </w:rPr>
        <w:t>)</w:t>
      </w:r>
      <w:r w:rsidRPr="00AC6C38">
        <w:fldChar w:fldCharType="end"/>
      </w:r>
      <w:r w:rsidR="002B63CF" w:rsidRPr="00AC6C38">
        <w:rPr>
          <w:lang w:val="id-ID"/>
        </w:rPr>
        <w:t>. A</w:t>
      </w:r>
      <w:r w:rsidR="003852D5" w:rsidRPr="00AC6C38">
        <w:t xml:space="preserve">danya teknologi ini </w:t>
      </w:r>
      <w:r w:rsidR="003852D5" w:rsidRPr="00AC6C38">
        <w:lastRenderedPageBreak/>
        <w:t xml:space="preserve">membantu seluruh elemen </w:t>
      </w:r>
      <w:r w:rsidR="002B63CF" w:rsidRPr="00AC6C38">
        <w:rPr>
          <w:lang w:val="id-ID"/>
        </w:rPr>
        <w:t xml:space="preserve">masyarakat </w:t>
      </w:r>
      <w:r w:rsidR="003852D5" w:rsidRPr="00AC6C38">
        <w:t xml:space="preserve">dan mempermudah penjualan barang ataupun jasa serta </w:t>
      </w:r>
      <w:r w:rsidR="00B32EBE" w:rsidRPr="00AC6C38">
        <w:rPr>
          <w:lang w:val="id-ID"/>
        </w:rPr>
        <w:t>s</w:t>
      </w:r>
      <w:r w:rsidRPr="00AC6C38">
        <w:t>ebagai suatu perdagangan yang berbasis teknologi canggih</w:t>
      </w:r>
      <w:r w:rsidR="002B63CF" w:rsidRPr="00AC6C38">
        <w:rPr>
          <w:lang w:val="id-ID"/>
        </w:rPr>
        <w:t xml:space="preserve">. </w:t>
      </w:r>
    </w:p>
    <w:p w14:paraId="7F5AC3E4" w14:textId="5E24EFDE" w:rsidR="00CF6A4B" w:rsidRPr="00AC6C38" w:rsidRDefault="002A245E" w:rsidP="00E50CE0">
      <w:pPr>
        <w:spacing w:line="276" w:lineRule="auto"/>
        <w:ind w:left="426" w:firstLine="567"/>
        <w:jc w:val="both"/>
      </w:pPr>
      <w:r w:rsidRPr="00AC6C38">
        <w:t xml:space="preserve">Pengertian perjanjian secara otentik yang dirumuskan oleh pembentuk </w:t>
      </w:r>
      <w:r w:rsidR="00CF6A4B" w:rsidRPr="00AC6C38">
        <w:rPr>
          <w:lang w:val="id-ID"/>
        </w:rPr>
        <w:t>U</w:t>
      </w:r>
      <w:r w:rsidRPr="00AC6C38">
        <w:t>ndang-</w:t>
      </w:r>
      <w:r w:rsidR="00CF6A4B" w:rsidRPr="00AC6C38">
        <w:rPr>
          <w:lang w:val="id-ID"/>
        </w:rPr>
        <w:t>U</w:t>
      </w:r>
      <w:r w:rsidRPr="00AC6C38">
        <w:t>ndang sebagaimana terdapat dalam Pasal 1313 K</w:t>
      </w:r>
      <w:r w:rsidR="00CF6A4B" w:rsidRPr="00AC6C38">
        <w:rPr>
          <w:lang w:val="id-ID"/>
        </w:rPr>
        <w:t>UHPer</w:t>
      </w:r>
      <w:r w:rsidRPr="00AC6C38">
        <w:t xml:space="preserve"> </w:t>
      </w:r>
      <w:r w:rsidR="00CC622D" w:rsidRPr="00AC6C38">
        <w:rPr>
          <w:lang w:val="id-ID"/>
        </w:rPr>
        <w:t xml:space="preserve">yang </w:t>
      </w:r>
      <w:r w:rsidRPr="00AC6C38">
        <w:t xml:space="preserve">menyebutkan bahwa perjanjian adalah suatu perbuatan dengan mana satu orang atau lebih mengikatkan dirinya terhadap satu orang lain atau lebih. </w:t>
      </w:r>
      <w:r w:rsidR="00500D94" w:rsidRPr="00AC6C38">
        <w:t>“</w:t>
      </w:r>
      <w:r w:rsidRPr="00AC6C38">
        <w:t xml:space="preserve">Batasan dari </w:t>
      </w:r>
      <w:r w:rsidR="00CF6A4B" w:rsidRPr="00AC6C38">
        <w:rPr>
          <w:lang w:val="id-ID"/>
        </w:rPr>
        <w:t>P</w:t>
      </w:r>
      <w:r w:rsidRPr="00AC6C38">
        <w:t xml:space="preserve">asal 1313 </w:t>
      </w:r>
      <w:r w:rsidR="00CF6A4B" w:rsidRPr="00AC6C38">
        <w:rPr>
          <w:lang w:val="id-ID"/>
        </w:rPr>
        <w:t xml:space="preserve">KUHPer </w:t>
      </w:r>
      <w:r w:rsidRPr="00AC6C38">
        <w:t xml:space="preserve">tentang perjanjian tersebut menurut para </w:t>
      </w:r>
      <w:r w:rsidR="00CF6A4B" w:rsidRPr="00AC6C38">
        <w:rPr>
          <w:lang w:val="id-ID"/>
        </w:rPr>
        <w:t>S</w:t>
      </w:r>
      <w:r w:rsidRPr="00AC6C38">
        <w:t xml:space="preserve">arjana </w:t>
      </w:r>
      <w:r w:rsidR="00CF6A4B" w:rsidRPr="00AC6C38">
        <w:rPr>
          <w:lang w:val="id-ID"/>
        </w:rPr>
        <w:t>H</w:t>
      </w:r>
      <w:r w:rsidRPr="00AC6C38">
        <w:t xml:space="preserve">ukum </w:t>
      </w:r>
      <w:r w:rsidR="00CF6A4B" w:rsidRPr="00AC6C38">
        <w:rPr>
          <w:lang w:val="id-ID"/>
        </w:rPr>
        <w:t>P</w:t>
      </w:r>
      <w:r w:rsidRPr="00AC6C38">
        <w:t>erdata kurang lengkap dan terlalu luas</w:t>
      </w:r>
      <w:r w:rsidR="00CF6A4B" w:rsidRPr="00AC6C38">
        <w:rPr>
          <w:lang w:val="id-ID"/>
        </w:rPr>
        <w:t>,</w:t>
      </w:r>
      <w:r w:rsidRPr="00AC6C38">
        <w:t xml:space="preserve"> sehingga banyak mengandung kelemahan-kelemahan. Adapun kelemahan-kelemahan tersebut dapat diperinci</w:t>
      </w:r>
      <w:r w:rsidR="00500D94" w:rsidRPr="00AC6C38">
        <w:t>”</w:t>
      </w:r>
      <w:r w:rsidRPr="00AC6C38">
        <w:rPr>
          <w:noProof/>
        </w:rPr>
        <w:t xml:space="preserve"> </w:t>
      </w:r>
      <w:r w:rsidRPr="00AC6C38">
        <w:rPr>
          <w:noProof/>
        </w:rPr>
        <w:fldChar w:fldCharType="begin" w:fldLock="1"/>
      </w:r>
      <w:r w:rsidRPr="00AC6C38">
        <w:rPr>
          <w:noProof/>
        </w:rPr>
        <w:instrText>ADDIN CSL_CITATION {"citationItems":[{"id":"ITEM-1","itemData":{"author":[{"dropping-particle":"","family":"A.M","given":"Yodo","non-dropping-particle":"","parse-names":false,"suffix":""}],"container-title":"Al-Balad: Journal of Constitutional Law","id":"ITEM-1","issued":{"date-parts":[["2004"]]},"number-of-pages":"42-45","publisher":"Raja Grafindo Persada","publisher-place":"Jakarta","title":"Hukum Perlindungan Konsumen","type":"book"},"uris":["http://www.mendeley.com/documents/?uuid=d234f64c-ad55-4971-9f2b-d3553bdbe60f"]}],"mendeley":{"formattedCitation":"(A.M, 2004)","plainTextFormattedCitation":"(A.M, 2004)","previouslyFormattedCitation":"(A.M, 2004)"},"properties":{"noteIndex":0},"schema":"https://github.com/citation-style-language/schema/raw/master/csl-citation.json"}</w:instrText>
      </w:r>
      <w:r w:rsidRPr="00AC6C38">
        <w:rPr>
          <w:noProof/>
        </w:rPr>
        <w:fldChar w:fldCharType="separate"/>
      </w:r>
      <w:r w:rsidRPr="00AC6C38">
        <w:rPr>
          <w:noProof/>
        </w:rPr>
        <w:t>(A.M, 2004</w:t>
      </w:r>
      <w:r w:rsidR="00500D94" w:rsidRPr="00AC6C38">
        <w:rPr>
          <w:noProof/>
        </w:rPr>
        <w:t>:22</w:t>
      </w:r>
      <w:r w:rsidRPr="00AC6C38">
        <w:rPr>
          <w:noProof/>
        </w:rPr>
        <w:t>)</w:t>
      </w:r>
      <w:r w:rsidRPr="00AC6C38">
        <w:rPr>
          <w:noProof/>
        </w:rPr>
        <w:fldChar w:fldCharType="end"/>
      </w:r>
      <w:r w:rsidR="00500D94" w:rsidRPr="00AC6C38">
        <w:t>.</w:t>
      </w:r>
      <w:r w:rsidR="00CF6A4B" w:rsidRPr="00AC6C38">
        <w:rPr>
          <w:lang w:val="id-ID"/>
        </w:rPr>
        <w:t xml:space="preserve"> H</w:t>
      </w:r>
      <w:r w:rsidRPr="00AC6C38">
        <w:t xml:space="preserve">anya menyangkut perjanjian sepihak saja, disini dapat diketahui dari rumusan </w:t>
      </w:r>
    </w:p>
    <w:p w14:paraId="79E0B23C" w14:textId="41DD3515" w:rsidR="00CF6A4B" w:rsidRPr="00AC6C38" w:rsidRDefault="002A245E" w:rsidP="00E50CE0">
      <w:pPr>
        <w:spacing w:line="276" w:lineRule="auto"/>
        <w:ind w:left="993"/>
        <w:jc w:val="both"/>
      </w:pPr>
      <w:r w:rsidRPr="00AC6C38">
        <w:t>“</w:t>
      </w:r>
      <w:r w:rsidR="00CF6A4B" w:rsidRPr="00AC6C38">
        <w:rPr>
          <w:lang w:val="id-ID"/>
        </w:rPr>
        <w:t>S</w:t>
      </w:r>
      <w:r w:rsidRPr="00AC6C38">
        <w:t xml:space="preserve">atu orang atau lebih mengikatkan dirinya terhadap satu orang atau lebih lainnya”. </w:t>
      </w:r>
    </w:p>
    <w:p w14:paraId="45BC9F4D" w14:textId="5C995904" w:rsidR="002A245E" w:rsidRPr="00AC6C38" w:rsidRDefault="00212572" w:rsidP="00E50CE0">
      <w:pPr>
        <w:spacing w:line="276" w:lineRule="auto"/>
        <w:ind w:left="426"/>
        <w:jc w:val="both"/>
        <w:rPr>
          <w:lang w:val="id-ID"/>
        </w:rPr>
      </w:pPr>
      <w:r w:rsidRPr="00AC6C38">
        <w:rPr>
          <w:lang w:val="id-ID"/>
        </w:rPr>
        <w:t>Hal tersebut memperlihatkan bahwa ada kesepakatan diantara kedua belah pihak itu yang membuat</w:t>
      </w:r>
      <w:r w:rsidR="007F2C3C" w:rsidRPr="00AC6C38">
        <w:rPr>
          <w:lang w:val="id-ID"/>
        </w:rPr>
        <w:t xml:space="preserve"> timbulnya sebuah</w:t>
      </w:r>
      <w:r w:rsidRPr="00AC6C38">
        <w:rPr>
          <w:lang w:val="id-ID"/>
        </w:rPr>
        <w:t xml:space="preserve"> perjanjian. Adanya kesepakatan atau persetujuan pada arti perbuatan termasuk tindakan yang mengandung kesepakatan</w:t>
      </w:r>
      <w:r w:rsidR="00CC622D" w:rsidRPr="00AC6C38">
        <w:rPr>
          <w:lang w:val="id-ID"/>
        </w:rPr>
        <w:t>. K</w:t>
      </w:r>
      <w:r w:rsidRPr="00AC6C38">
        <w:rPr>
          <w:lang w:val="id-ID"/>
        </w:rPr>
        <w:t>arena timbul dari kedua belah pihak itu sendiri</w:t>
      </w:r>
      <w:r w:rsidR="00CC622D" w:rsidRPr="00AC6C38">
        <w:rPr>
          <w:lang w:val="id-ID"/>
        </w:rPr>
        <w:t>,</w:t>
      </w:r>
      <w:r w:rsidRPr="00AC6C38">
        <w:rPr>
          <w:lang w:val="id-ID"/>
        </w:rPr>
        <w:t xml:space="preserve"> tidak ada paksaan dalam melakukan kesepakatan. Kesepakatan yang menimbulkan perbuatan hukum</w:t>
      </w:r>
      <w:r w:rsidR="00CC622D" w:rsidRPr="00AC6C38">
        <w:rPr>
          <w:lang w:val="id-ID"/>
        </w:rPr>
        <w:t xml:space="preserve"> </w:t>
      </w:r>
      <w:r w:rsidRPr="00AC6C38">
        <w:rPr>
          <w:lang w:val="id-ID"/>
        </w:rPr>
        <w:t>pada konteks perjanjian memiliki arti yang sangat luas dan khusus</w:t>
      </w:r>
      <w:r w:rsidR="00CC622D" w:rsidRPr="00AC6C38">
        <w:rPr>
          <w:lang w:val="id-ID"/>
        </w:rPr>
        <w:t xml:space="preserve">. </w:t>
      </w:r>
      <w:r w:rsidRPr="00AC6C38">
        <w:rPr>
          <w:lang w:val="id-ID"/>
        </w:rPr>
        <w:t>Pasal 1313 KUHPer</w:t>
      </w:r>
      <w:r w:rsidR="00CC622D" w:rsidRPr="00AC6C38">
        <w:rPr>
          <w:lang w:val="id-ID"/>
        </w:rPr>
        <w:t xml:space="preserve"> </w:t>
      </w:r>
      <w:r w:rsidRPr="00AC6C38">
        <w:rPr>
          <w:lang w:val="id-ID"/>
        </w:rPr>
        <w:t xml:space="preserve">menjelaskan </w:t>
      </w:r>
      <w:r w:rsidR="00CC622D" w:rsidRPr="00AC6C38">
        <w:rPr>
          <w:lang w:val="id-ID"/>
        </w:rPr>
        <w:t xml:space="preserve">mengenai </w:t>
      </w:r>
      <w:r w:rsidRPr="00AC6C38">
        <w:rPr>
          <w:lang w:val="id-ID"/>
        </w:rPr>
        <w:t>kesepakatan pada hubungan kreditur serta debitur</w:t>
      </w:r>
      <w:r w:rsidR="00CC622D" w:rsidRPr="00AC6C38">
        <w:rPr>
          <w:lang w:val="id-ID"/>
        </w:rPr>
        <w:t xml:space="preserve">, </w:t>
      </w:r>
      <w:r w:rsidRPr="00AC6C38">
        <w:rPr>
          <w:lang w:val="id-ID"/>
        </w:rPr>
        <w:t>yaitu adanya jual beli atau pelaku usaha den</w:t>
      </w:r>
      <w:r w:rsidR="002A239F" w:rsidRPr="00AC6C38">
        <w:rPr>
          <w:lang w:val="id-ID"/>
        </w:rPr>
        <w:t xml:space="preserve">gan konsumen sesuai dengan UUPK, yang harus menyebutkan tujuan diadakanya perjanjian serta maksud dari para pihak ketika melakukan kesepakatan terhadap perjanjian tersebut. </w:t>
      </w:r>
    </w:p>
    <w:p w14:paraId="06D4980C" w14:textId="1C2F4421" w:rsidR="00BC5FF7" w:rsidRPr="00AC6C38" w:rsidRDefault="002A239F" w:rsidP="00E50CE0">
      <w:pPr>
        <w:spacing w:line="276" w:lineRule="auto"/>
        <w:ind w:left="426" w:firstLine="567"/>
        <w:jc w:val="both"/>
        <w:rPr>
          <w:lang w:val="id-ID"/>
        </w:rPr>
      </w:pPr>
      <w:r w:rsidRPr="00AC6C38">
        <w:rPr>
          <w:lang w:val="id-ID"/>
        </w:rPr>
        <w:t xml:space="preserve">Sebuah transaksi yang dilakukan dengan teknologi elektronik atau sering kali disebut </w:t>
      </w:r>
      <w:r w:rsidRPr="00AC6C38">
        <w:rPr>
          <w:i/>
          <w:iCs/>
          <w:lang w:val="id-ID"/>
        </w:rPr>
        <w:t>e-commerce</w:t>
      </w:r>
      <w:r w:rsidRPr="00AC6C38">
        <w:rPr>
          <w:lang w:val="id-ID"/>
        </w:rPr>
        <w:t xml:space="preserve"> telah merubah sistem dagang konvensional yang mana perlu dilakukan pertemuan antara kedua belah pihak untuk melakukan jual beli atau suatu kesepakatan yang mana tentu menghabiskan waktu serta tenaga, dan saat ini dapat dipangkas dengan adanya </w:t>
      </w:r>
      <w:r w:rsidRPr="00AC6C38">
        <w:rPr>
          <w:i/>
          <w:iCs/>
          <w:lang w:val="id-ID"/>
        </w:rPr>
        <w:t>e-commerce</w:t>
      </w:r>
      <w:r w:rsidRPr="00AC6C38">
        <w:rPr>
          <w:lang w:val="id-ID"/>
        </w:rPr>
        <w:t xml:space="preserve"> yang tidak memerlukan pertemuan kedua belah pihak secara langsung untuk melakukan suatu jual beli, namun dilakukan secara </w:t>
      </w:r>
      <w:r w:rsidRPr="00AC6C38">
        <w:rPr>
          <w:i/>
          <w:iCs/>
          <w:lang w:val="id-ID"/>
        </w:rPr>
        <w:t>virtual</w:t>
      </w:r>
      <w:r w:rsidRPr="00AC6C38">
        <w:rPr>
          <w:lang w:val="id-ID"/>
        </w:rPr>
        <w:t xml:space="preserve"> melalui layar </w:t>
      </w:r>
      <w:r w:rsidR="004C7AB3" w:rsidRPr="00AC6C38">
        <w:rPr>
          <w:lang w:val="id-ID"/>
        </w:rPr>
        <w:t>telepon genggam</w:t>
      </w:r>
      <w:r w:rsidRPr="00AC6C38">
        <w:rPr>
          <w:lang w:val="id-ID"/>
        </w:rPr>
        <w:t xml:space="preserve">, laptop dan tablet. Adanya </w:t>
      </w:r>
      <w:r w:rsidRPr="00AC6C38">
        <w:rPr>
          <w:i/>
          <w:iCs/>
          <w:lang w:val="id-ID"/>
        </w:rPr>
        <w:t>e-commerce</w:t>
      </w:r>
      <w:r w:rsidRPr="00AC6C38">
        <w:rPr>
          <w:lang w:val="id-ID"/>
        </w:rPr>
        <w:t xml:space="preserve"> ini juga merubah konsep pembayaran tunai menjadi pembayaran </w:t>
      </w:r>
      <w:r w:rsidR="00F96983" w:rsidRPr="00AC6C38">
        <w:rPr>
          <w:lang w:val="id-ID"/>
        </w:rPr>
        <w:t>melalui</w:t>
      </w:r>
      <w:r w:rsidRPr="00AC6C38">
        <w:rPr>
          <w:lang w:val="id-ID"/>
        </w:rPr>
        <w:t xml:space="preserve"> transfer atau </w:t>
      </w:r>
      <w:r w:rsidRPr="00AC6C38">
        <w:rPr>
          <w:i/>
          <w:iCs/>
          <w:lang w:val="id-ID"/>
        </w:rPr>
        <w:t>barcode</w:t>
      </w:r>
      <w:r w:rsidR="00C3555A" w:rsidRPr="00AC6C38">
        <w:rPr>
          <w:lang w:val="id-ID"/>
        </w:rPr>
        <w:t>. H</w:t>
      </w:r>
      <w:r w:rsidRPr="00AC6C38">
        <w:rPr>
          <w:lang w:val="id-ID"/>
        </w:rPr>
        <w:t xml:space="preserve">al ini merubah banyak hal, konsep ini dinamakan konsep </w:t>
      </w:r>
      <w:r w:rsidRPr="00AC6C38">
        <w:rPr>
          <w:i/>
          <w:iCs/>
          <w:lang w:val="id-ID"/>
        </w:rPr>
        <w:t>telemarketing</w:t>
      </w:r>
      <w:r w:rsidRPr="00AC6C38">
        <w:rPr>
          <w:lang w:val="id-ID"/>
        </w:rPr>
        <w:t>,</w:t>
      </w:r>
      <w:r w:rsidR="002B63CF" w:rsidRPr="00AC6C38">
        <w:rPr>
          <w:lang w:val="id-ID"/>
        </w:rPr>
        <w:t xml:space="preserve"> </w:t>
      </w:r>
      <w:r w:rsidR="00500D94" w:rsidRPr="00AC6C38">
        <w:t>“</w:t>
      </w:r>
      <w:r w:rsidR="002B63CF" w:rsidRPr="00AC6C38">
        <w:rPr>
          <w:i/>
          <w:iCs/>
          <w:lang w:val="id-ID"/>
        </w:rPr>
        <w:t>Telemarketing</w:t>
      </w:r>
      <w:r w:rsidR="002B63CF" w:rsidRPr="00AC6C38">
        <w:rPr>
          <w:lang w:val="id-ID"/>
        </w:rPr>
        <w:t xml:space="preserve"> </w:t>
      </w:r>
      <w:r w:rsidR="00BC5FF7" w:rsidRPr="00AC6C38">
        <w:t>yaitu perdagangan jarak jauh dengan menggunakan media internet, dimana suatu perdagangan tidak lagi membutuhkan</w:t>
      </w:r>
      <w:r w:rsidR="00B32EBE" w:rsidRPr="00AC6C38">
        <w:t xml:space="preserve"> </w:t>
      </w:r>
      <w:r w:rsidR="00B32EBE" w:rsidRPr="00AC6C38">
        <w:lastRenderedPageBreak/>
        <w:t>pertemuan antara pelaku bisnis</w:t>
      </w:r>
      <w:r w:rsidR="00500D94" w:rsidRPr="00AC6C38">
        <w:t>”</w:t>
      </w:r>
      <w:r w:rsidR="00B32EBE" w:rsidRPr="00AC6C38">
        <w:t xml:space="preserve"> </w:t>
      </w:r>
      <w:r w:rsidR="00BC5FF7" w:rsidRPr="00AC6C38">
        <w:fldChar w:fldCharType="begin" w:fldLock="1"/>
      </w:r>
      <w:r w:rsidR="00794F2E" w:rsidRPr="00AC6C38">
        <w:instrText>ADDIN CSL_CITATION {"citationItems":[{"id":"ITEM-1","itemData":{"author":[{"dropping-particle":"","family":"Almaida","given":"Zennia","non-dropping-particle":"","parse-names":false,"suffix":""}],"container-title":"Privat Law","id":"ITEM-1","issued":{"date-parts":[["2021"]]},"page":"218-226","title":"Perlindungan hukum preventif dan represif bagi pengguna uang elektronik dalam melakukan transaksi tol nontunai","type":"article-journal","volume":"9"},"uris":["http://www.mendeley.com/documents/?uuid=064d72fc-a261-491c-b100-89a90cf88443"]}],"mendeley":{"formattedCitation":"(Almaida, 2021)","manualFormatting":"(Almaida, 2021:71)","plainTextFormattedCitation":"(Almaida, 2021)","previouslyFormattedCitation":"(Almaida, 2021)"},"properties":{"noteIndex":0},"schema":"https://github.com/citation-style-language/schema/raw/master/csl-citation.json"}</w:instrText>
      </w:r>
      <w:r w:rsidR="00BC5FF7" w:rsidRPr="00AC6C38">
        <w:fldChar w:fldCharType="separate"/>
      </w:r>
      <w:r w:rsidR="00BC5FF7" w:rsidRPr="00AC6C38">
        <w:rPr>
          <w:noProof/>
        </w:rPr>
        <w:t>(Almaida, 2021</w:t>
      </w:r>
      <w:r w:rsidR="00D23E8A" w:rsidRPr="00AC6C38">
        <w:rPr>
          <w:noProof/>
          <w:lang w:val="id-ID"/>
        </w:rPr>
        <w:t>:71</w:t>
      </w:r>
      <w:r w:rsidR="00BC5FF7" w:rsidRPr="00AC6C38">
        <w:rPr>
          <w:noProof/>
        </w:rPr>
        <w:t>)</w:t>
      </w:r>
      <w:r w:rsidR="00BC5FF7" w:rsidRPr="00AC6C38">
        <w:fldChar w:fldCharType="end"/>
      </w:r>
      <w:r w:rsidR="00DA3379" w:rsidRPr="00AC6C38">
        <w:t>, hanya melalui</w:t>
      </w:r>
      <w:r w:rsidR="002B63CF" w:rsidRPr="00AC6C38">
        <w:rPr>
          <w:lang w:val="id-ID"/>
        </w:rPr>
        <w:t xml:space="preserve"> telepon genggam</w:t>
      </w:r>
      <w:r w:rsidR="00DA3379" w:rsidRPr="00AC6C38">
        <w:t xml:space="preserve"> semuanya bisa digapai dan bisa mencari semua barang yang diinginkan. </w:t>
      </w:r>
    </w:p>
    <w:p w14:paraId="24D9AFAB" w14:textId="4883A22C" w:rsidR="00BC5FF7" w:rsidRPr="00AC6C38" w:rsidRDefault="00500D94" w:rsidP="00E50CE0">
      <w:pPr>
        <w:spacing w:line="276" w:lineRule="auto"/>
        <w:ind w:left="426" w:firstLine="567"/>
        <w:jc w:val="both"/>
        <w:rPr>
          <w:lang w:val="id-ID"/>
        </w:rPr>
      </w:pPr>
      <w:r w:rsidRPr="00AC6C38">
        <w:t>“</w:t>
      </w:r>
      <w:r w:rsidR="008C66D7" w:rsidRPr="00AC6C38">
        <w:rPr>
          <w:lang w:val="id-ID"/>
        </w:rPr>
        <w:t>Timbulnya perselisihan dan persengketaan merupakan hal yang tidak dapat dihindari d</w:t>
      </w:r>
      <w:r w:rsidR="00BC5FF7" w:rsidRPr="00AC6C38">
        <w:t>alam pergaulan di masyarakat</w:t>
      </w:r>
      <w:r w:rsidR="00777B0E" w:rsidRPr="00AC6C38">
        <w:t xml:space="preserve"> </w:t>
      </w:r>
      <w:r w:rsidR="00777B0E" w:rsidRPr="00AC6C38">
        <w:fldChar w:fldCharType="begin" w:fldLock="1"/>
      </w:r>
      <w:r w:rsidR="00777B0E" w:rsidRPr="00AC6C38">
        <w:instrText>ADDIN CSL_CITATION {"citationItems":[{"id":"ITEM-1","itemData":{"author":[{"dropping-particle":"","family":"Antari","given":"kadek widya","non-dropping-particle":"","parse-names":false,"suffix":""}],"container-title":"jurnal komunitas yustisia","id":"ITEM-1","issue":"2","issued":{"date-parts":[["2019"]]},"page":"123-142","title":"TINJAUAN YURIDIS MENGENAI ANTYNOMY NORMEN (KONFLIK NORMA) ANTARA UNDANG-UNDANG NOMOR 5 TAHUN 1960 TENTANG PERATURAN DASAR-DASAR POKOK AGRARIA DENGAN UNDANG-UNDANG NOMOR 25 TAHUN 2007 TENTANG PENANAMAN MODAL TERKAIT JANGKA WAKTU PEROLEHAN HAK ATAS TANAH","type":"article-journal","volume":"2"},"uris":["http://www.mendeley.com/documents/?uuid=25271c60-5032-4f5f-a9f2-09d729988d6b"]}],"mendeley":{"formattedCitation":"(Antari, 2019)","manualFormatting":"(Antari, 2019:88)","plainTextFormattedCitation":"(Antari, 2019)","previouslyFormattedCitation":"(Antari, 2019)"},"properties":{"noteIndex":0},"schema":"https://github.com/citation-style-language/schema/raw/master/csl-citation.json"}</w:instrText>
      </w:r>
      <w:r w:rsidR="00777B0E" w:rsidRPr="00AC6C38">
        <w:fldChar w:fldCharType="separate"/>
      </w:r>
      <w:r w:rsidR="00777B0E" w:rsidRPr="00AC6C38">
        <w:rPr>
          <w:noProof/>
        </w:rPr>
        <w:t>(Antari, 2019:88)</w:t>
      </w:r>
      <w:r w:rsidR="00777B0E" w:rsidRPr="00AC6C38">
        <w:fldChar w:fldCharType="end"/>
      </w:r>
      <w:r w:rsidR="008C66D7" w:rsidRPr="00AC6C38">
        <w:rPr>
          <w:lang w:val="id-ID"/>
        </w:rPr>
        <w:t>, terlebih m</w:t>
      </w:r>
      <w:r w:rsidR="00BC5FF7" w:rsidRPr="00AC6C38">
        <w:t xml:space="preserve">enyangkut bisnis yang menggunakan </w:t>
      </w:r>
      <w:r w:rsidR="00BC5FF7" w:rsidRPr="00AC6C38">
        <w:rPr>
          <w:i/>
          <w:iCs/>
        </w:rPr>
        <w:t>e-commerce</w:t>
      </w:r>
      <w:r w:rsidRPr="00AC6C38">
        <w:rPr>
          <w:i/>
          <w:iCs/>
        </w:rPr>
        <w:t>”</w:t>
      </w:r>
      <w:r w:rsidR="008C66D7" w:rsidRPr="00AC6C38">
        <w:rPr>
          <w:lang w:val="id-ID"/>
        </w:rPr>
        <w:t>.</w:t>
      </w:r>
      <w:r w:rsidR="00BC5FF7" w:rsidRPr="00AC6C38">
        <w:t xml:space="preserve"> </w:t>
      </w:r>
      <w:r w:rsidR="00104E08" w:rsidRPr="00AC6C38">
        <w:rPr>
          <w:lang w:val="id-ID"/>
        </w:rPr>
        <w:t xml:space="preserve">Orang yang melakukan jual beli secara telemarketing mempunyai perbedaan kepentingan dan latar belakang yang membuat banyaknya timbul permasalahan atau sengketa dalam melakukan jual beli via e-commerce yang sering kali timbul karena ketidakpahaman antara para pihak, sering kali terdapat wanprestasi yang bisa dilakukan dengan tidak memenuhi prestasi atau memenuhi prestasi namun tidak sesuai dengan yang diharapkan atau salah proses dalam memenuhi prestasi tersebut dan dapat terjadi karena keterlambatan dalam memenuhi sebuah prestasi. </w:t>
      </w:r>
      <w:r w:rsidR="00DA3379" w:rsidRPr="00AC6C38">
        <w:t xml:space="preserve">Karena </w:t>
      </w:r>
      <w:r w:rsidR="004E43EA" w:rsidRPr="00AC6C38">
        <w:rPr>
          <w:lang w:val="id-ID"/>
        </w:rPr>
        <w:t xml:space="preserve">penggunaan media </w:t>
      </w:r>
      <w:r w:rsidR="00DA3379" w:rsidRPr="00AC6C38">
        <w:t xml:space="preserve">elektronik yang tidak memerlukan pertemuan kedua pihak, maka sering kali terjadi kesalahan dalam komunikasi yang menyebabkan perbedaan presepsi atau penafsiran barang atau jasa yang dimaksud. </w:t>
      </w:r>
    </w:p>
    <w:p w14:paraId="270D2BC2" w14:textId="6FE70F75" w:rsidR="00590B85" w:rsidRPr="00AC6C38" w:rsidRDefault="004E43EA" w:rsidP="00E50CE0">
      <w:pPr>
        <w:spacing w:line="276" w:lineRule="auto"/>
        <w:ind w:left="426" w:firstLine="567"/>
        <w:jc w:val="both"/>
        <w:rPr>
          <w:lang w:val="id-ID"/>
        </w:rPr>
      </w:pPr>
      <w:r w:rsidRPr="00AC6C38">
        <w:rPr>
          <w:lang w:val="id-ID"/>
        </w:rPr>
        <w:t>T</w:t>
      </w:r>
      <w:r w:rsidR="00BC5FF7" w:rsidRPr="00AC6C38">
        <w:t>ransaksi jasa pelayanan hotel melalui media elektronik</w:t>
      </w:r>
      <w:r w:rsidR="00381352" w:rsidRPr="00AC6C38">
        <w:rPr>
          <w:lang w:val="id-ID"/>
        </w:rPr>
        <w:t xml:space="preserve"> </w:t>
      </w:r>
      <w:r w:rsidR="00BC5FF7" w:rsidRPr="00AC6C38">
        <w:t xml:space="preserve">termasuk dalam </w:t>
      </w:r>
      <w:r w:rsidR="00590B85" w:rsidRPr="00AC6C38">
        <w:rPr>
          <w:lang w:val="id-ID"/>
        </w:rPr>
        <w:t>jasa yang tidak dilakukan secara tatap muka</w:t>
      </w:r>
      <w:r w:rsidR="00D2478E" w:rsidRPr="00AC6C38">
        <w:rPr>
          <w:lang w:val="id-ID"/>
        </w:rPr>
        <w:t>,</w:t>
      </w:r>
      <w:r w:rsidR="00590B85" w:rsidRPr="00AC6C38">
        <w:rPr>
          <w:lang w:val="id-ID"/>
        </w:rPr>
        <w:t xml:space="preserve"> sehingga pihak hotel juga tidak mengetahui konsumenn</w:t>
      </w:r>
      <w:r w:rsidR="00D2478E" w:rsidRPr="00AC6C38">
        <w:rPr>
          <w:lang w:val="id-ID"/>
        </w:rPr>
        <w:t>ya dan s</w:t>
      </w:r>
      <w:r w:rsidR="00590B85" w:rsidRPr="00AC6C38">
        <w:rPr>
          <w:lang w:val="id-ID"/>
        </w:rPr>
        <w:t>ebaliknya</w:t>
      </w:r>
      <w:r w:rsidR="00D2478E" w:rsidRPr="00AC6C38">
        <w:rPr>
          <w:lang w:val="id-ID"/>
        </w:rPr>
        <w:t xml:space="preserve"> P</w:t>
      </w:r>
      <w:r w:rsidR="00590B85" w:rsidRPr="00AC6C38">
        <w:rPr>
          <w:lang w:val="id-ID"/>
        </w:rPr>
        <w:t xml:space="preserve">ara pihak tidak saling mengenal dalam melakukan perjanjian. Hak konsumen yang ada dalam transaksi </w:t>
      </w:r>
      <w:r w:rsidR="00590B85" w:rsidRPr="00AC6C38">
        <w:rPr>
          <w:i/>
          <w:iCs/>
          <w:lang w:val="id-ID"/>
        </w:rPr>
        <w:t>e-commerce</w:t>
      </w:r>
      <w:r w:rsidR="00590B85" w:rsidRPr="00AC6C38">
        <w:rPr>
          <w:lang w:val="id-ID"/>
        </w:rPr>
        <w:t xml:space="preserve"> atau jual beli online ini sangat riskan untuk tidak dilakukan pemenuhan haknya, karena konsumen memiliki posisi tingkat menawar pada posisi ya</w:t>
      </w:r>
      <w:r w:rsidR="000F4A2F" w:rsidRPr="00AC6C38">
        <w:rPr>
          <w:lang w:val="id-ID"/>
        </w:rPr>
        <w:t xml:space="preserve">ng rendah </w:t>
      </w:r>
      <w:r w:rsidR="000F4A2F" w:rsidRPr="00AC6C38">
        <w:rPr>
          <w:i/>
          <w:iCs/>
          <w:lang w:val="id-ID"/>
        </w:rPr>
        <w:t>(b</w:t>
      </w:r>
      <w:r w:rsidR="004C7AB3" w:rsidRPr="00AC6C38">
        <w:rPr>
          <w:i/>
          <w:iCs/>
          <w:lang w:val="id-ID"/>
        </w:rPr>
        <w:t>a</w:t>
      </w:r>
      <w:r w:rsidR="000F4A2F" w:rsidRPr="00AC6C38">
        <w:rPr>
          <w:i/>
          <w:iCs/>
          <w:lang w:val="id-ID"/>
        </w:rPr>
        <w:t>rgaining position)</w:t>
      </w:r>
      <w:r w:rsidR="000F4A2F" w:rsidRPr="00AC6C38">
        <w:rPr>
          <w:lang w:val="id-ID"/>
        </w:rPr>
        <w:t xml:space="preserve">. Rendahnya posisi ini karena pihak pertama atau pelaku usaha kurang jelas dalam menuliskan suatu ketentuan pada jasa atau kurangnya keterangan dan penjelasan pada suatu barang, sehingga konsumen harus meraba-raba mengenai barang atau jasa yang akan dibelinya. Padahal seharunya, konsumen mendapatkan hak untuk mendapat informasi yang jelas mengenai </w:t>
      </w:r>
      <w:r w:rsidR="00635DC3" w:rsidRPr="00AC6C38">
        <w:rPr>
          <w:lang w:val="id-ID"/>
        </w:rPr>
        <w:t>produk atau jasa yang akan dibelinya</w:t>
      </w:r>
      <w:r w:rsidR="004C7AB3" w:rsidRPr="00AC6C38">
        <w:rPr>
          <w:lang w:val="id-ID"/>
        </w:rPr>
        <w:t>. I</w:t>
      </w:r>
      <w:r w:rsidR="00635DC3" w:rsidRPr="00AC6C38">
        <w:rPr>
          <w:lang w:val="id-ID"/>
        </w:rPr>
        <w:t xml:space="preserve">nfomasi ini harus didapatkan sejelas-jelasnya dan serinci-rincinya, hal ini juga tertulis dalam klausula UUPK mengenai hak-hak konsumen. </w:t>
      </w:r>
    </w:p>
    <w:p w14:paraId="4E350C83" w14:textId="178CEF3A" w:rsidR="00BC5FF7" w:rsidRPr="00AC6C38" w:rsidRDefault="00BC5FF7" w:rsidP="00E50CE0">
      <w:pPr>
        <w:spacing w:line="276" w:lineRule="auto"/>
        <w:ind w:left="426" w:firstLine="567"/>
        <w:jc w:val="both"/>
      </w:pPr>
      <w:r w:rsidRPr="00AC6C38">
        <w:t>Hak konsumen sendiri</w:t>
      </w:r>
      <w:r w:rsidR="00765E57" w:rsidRPr="00AC6C38">
        <w:rPr>
          <w:lang w:val="id-ID"/>
        </w:rPr>
        <w:t xml:space="preserve"> diatur dalam Pasal 4 UUPK</w:t>
      </w:r>
      <w:r w:rsidRPr="00AC6C38">
        <w:t>, ant</w:t>
      </w:r>
      <w:r w:rsidR="001242F9" w:rsidRPr="00AC6C38">
        <w:t>ara lain</w:t>
      </w:r>
      <w:r w:rsidR="004E43EA" w:rsidRPr="00AC6C38">
        <w:rPr>
          <w:lang w:val="id-ID"/>
        </w:rPr>
        <w:t xml:space="preserve"> </w:t>
      </w:r>
      <w:r w:rsidR="001242F9" w:rsidRPr="00AC6C38">
        <w:t xml:space="preserve">yaitu </w:t>
      </w:r>
      <w:r w:rsidR="00765E57" w:rsidRPr="00AC6C38">
        <w:rPr>
          <w:lang w:val="id-ID"/>
        </w:rPr>
        <w:t>“</w:t>
      </w:r>
      <w:r w:rsidRPr="00AC6C38">
        <w:t>Hak atas kenyamanan, keamanan, dan keselamatan dalam m</w:t>
      </w:r>
      <w:r w:rsidR="001242F9" w:rsidRPr="00AC6C38">
        <w:t xml:space="preserve">engonsumsi barang dan/atau jasa, </w:t>
      </w:r>
      <w:r w:rsidRPr="00AC6C38">
        <w:t>Hak untuk memilih barang dan/atau jasa serta mendapatkan barang dan/atau jasa tersebut sesuai dengan nilai tukar dan kondis</w:t>
      </w:r>
      <w:r w:rsidR="001242F9" w:rsidRPr="00AC6C38">
        <w:t>i serta jaminan yang dijanjikan,</w:t>
      </w:r>
      <w:r w:rsidR="001242F9" w:rsidRPr="00AC6C38">
        <w:rPr>
          <w:lang w:val="id-ID"/>
        </w:rPr>
        <w:t xml:space="preserve"> </w:t>
      </w:r>
      <w:r w:rsidRPr="00AC6C38">
        <w:t>Hak atas informasi yang benar, jelas dan jujur mengenai kondisi d</w:t>
      </w:r>
      <w:r w:rsidR="001242F9" w:rsidRPr="00AC6C38">
        <w:t xml:space="preserve">an jaminan </w:t>
      </w:r>
      <w:r w:rsidR="001242F9" w:rsidRPr="00AC6C38">
        <w:lastRenderedPageBreak/>
        <w:t xml:space="preserve">barang dan/atau jasa, </w:t>
      </w:r>
      <w:r w:rsidRPr="00AC6C38">
        <w:t>Hak untuk didengar pendapat dan keluhannya atas bara</w:t>
      </w:r>
      <w:r w:rsidR="001242F9" w:rsidRPr="00AC6C38">
        <w:t xml:space="preserve">ng dan/atau jasa yang digunakan, </w:t>
      </w:r>
      <w:r w:rsidRPr="00AC6C38">
        <w:t>Hak untuk mendapatkan advokasi, perlindungan dan upaya penyelesaian sengketa per</w:t>
      </w:r>
      <w:r w:rsidR="001242F9" w:rsidRPr="00AC6C38">
        <w:t xml:space="preserve">lindungan konsumen secara patut, </w:t>
      </w:r>
      <w:r w:rsidRPr="00AC6C38">
        <w:t>Hak untuk mendapatkan pe</w:t>
      </w:r>
      <w:r w:rsidR="001242F9" w:rsidRPr="00AC6C38">
        <w:t xml:space="preserve">mbinaan dan pendidikan konsumen, </w:t>
      </w:r>
      <w:r w:rsidRPr="00AC6C38">
        <w:t xml:space="preserve">Hak untuk diperlakukan dan dilayani secara benar dan </w:t>
      </w:r>
      <w:r w:rsidR="001242F9" w:rsidRPr="00AC6C38">
        <w:t xml:space="preserve">jujur serta tidak diskriminatif, </w:t>
      </w:r>
      <w:r w:rsidRPr="00AC6C38">
        <w:t xml:space="preserve">Hak untuk mendapatkan kompensasi, ganti rugi, dan/atau penggantian apabila barang dan/atau jasa yang diterima tidak sesuai dengan perjanjian </w:t>
      </w:r>
      <w:r w:rsidR="001242F9" w:rsidRPr="00AC6C38">
        <w:t xml:space="preserve">atau tidak sebagaimana mestinya, </w:t>
      </w:r>
      <w:r w:rsidRPr="00AC6C38">
        <w:t>Hak-hak yang diatur dalam ketentuan peraturan perundang-undangan lainnya</w:t>
      </w:r>
      <w:r w:rsidR="00765E57" w:rsidRPr="00AC6C38">
        <w:rPr>
          <w:lang w:val="id-ID"/>
        </w:rPr>
        <w:t>”</w:t>
      </w:r>
      <w:r w:rsidRPr="00AC6C38">
        <w:t>.</w:t>
      </w:r>
    </w:p>
    <w:p w14:paraId="642DCBD0" w14:textId="2907D744" w:rsidR="00BC5FF7" w:rsidRPr="00AC6C38" w:rsidRDefault="000867BB" w:rsidP="00E50CE0">
      <w:pPr>
        <w:spacing w:line="276" w:lineRule="auto"/>
        <w:ind w:left="426" w:firstLine="567"/>
        <w:jc w:val="both"/>
      </w:pPr>
      <w:r w:rsidRPr="00AC6C38">
        <w:rPr>
          <w:lang w:val="id-ID"/>
        </w:rPr>
        <w:t>D</w:t>
      </w:r>
      <w:r w:rsidR="00BC5FF7" w:rsidRPr="00AC6C38">
        <w:t>alam memperdagangkan barang dan jasa</w:t>
      </w:r>
      <w:r w:rsidR="004E096B" w:rsidRPr="00AC6C38">
        <w:rPr>
          <w:lang w:val="id-ID"/>
        </w:rPr>
        <w:t>,</w:t>
      </w:r>
      <w:r w:rsidR="00BC5FF7" w:rsidRPr="00AC6C38">
        <w:t xml:space="preserve"> pelaku usaha wajib memberikan informasi yang benar dan jelas mengenai kondisi barang. Ketentuan ini terdapat dalam Pasal 7 UUPK. </w:t>
      </w:r>
      <w:r w:rsidR="00765E57" w:rsidRPr="00AC6C38">
        <w:rPr>
          <w:lang w:val="id-ID"/>
        </w:rPr>
        <w:t>“</w:t>
      </w:r>
      <w:r w:rsidR="00BC5FF7" w:rsidRPr="00AC6C38">
        <w:t>Kewajiban Pelaku Usaha dalam memperdagangankan barang/jasanya adalah antara lain:</w:t>
      </w:r>
    </w:p>
    <w:p w14:paraId="4BF0DCAE" w14:textId="78204695" w:rsidR="00BC5FF7" w:rsidRPr="00AC6C38" w:rsidRDefault="00CF3940" w:rsidP="00E50CE0">
      <w:pPr>
        <w:numPr>
          <w:ilvl w:val="0"/>
          <w:numId w:val="40"/>
        </w:numPr>
        <w:tabs>
          <w:tab w:val="left" w:pos="993"/>
        </w:tabs>
        <w:spacing w:line="276" w:lineRule="auto"/>
        <w:ind w:left="993" w:hanging="426"/>
        <w:jc w:val="both"/>
      </w:pPr>
      <w:r w:rsidRPr="00AC6C38">
        <w:rPr>
          <w:lang w:val="id-ID"/>
        </w:rPr>
        <w:t>“</w:t>
      </w:r>
      <w:r w:rsidR="00BC5FF7" w:rsidRPr="00AC6C38">
        <w:t>Beritikad baik dalam melakukan usahanya;</w:t>
      </w:r>
    </w:p>
    <w:p w14:paraId="724ECB2F" w14:textId="77777777" w:rsidR="00BC5FF7" w:rsidRPr="00AC6C38" w:rsidRDefault="00BC5FF7" w:rsidP="00E50CE0">
      <w:pPr>
        <w:numPr>
          <w:ilvl w:val="0"/>
          <w:numId w:val="40"/>
        </w:numPr>
        <w:tabs>
          <w:tab w:val="left" w:pos="993"/>
        </w:tabs>
        <w:spacing w:line="276" w:lineRule="auto"/>
        <w:ind w:left="993" w:hanging="426"/>
        <w:jc w:val="both"/>
      </w:pPr>
      <w:r w:rsidRPr="00AC6C38">
        <w:t>Memberikan informasi yang benar, jelas dan jujur mengenai kondisi dan jaminan barang dan/atau jasa serta memberi penjelasan penggunaan, perbaikan dan pemeliharaan;</w:t>
      </w:r>
    </w:p>
    <w:p w14:paraId="53D5D152" w14:textId="77777777" w:rsidR="00BC5FF7" w:rsidRPr="00AC6C38" w:rsidRDefault="00BC5FF7" w:rsidP="00E50CE0">
      <w:pPr>
        <w:numPr>
          <w:ilvl w:val="0"/>
          <w:numId w:val="40"/>
        </w:numPr>
        <w:tabs>
          <w:tab w:val="left" w:pos="993"/>
        </w:tabs>
        <w:spacing w:line="276" w:lineRule="auto"/>
        <w:ind w:left="993" w:hanging="426"/>
        <w:jc w:val="both"/>
      </w:pPr>
      <w:r w:rsidRPr="00AC6C38">
        <w:t>Memperlakukan dan melayani konsumen secara benar dan jujur serta tidak diskriminatif;</w:t>
      </w:r>
    </w:p>
    <w:p w14:paraId="4CCC0B62" w14:textId="77777777" w:rsidR="00BC5FF7" w:rsidRPr="00AC6C38" w:rsidRDefault="00BC5FF7" w:rsidP="00E50CE0">
      <w:pPr>
        <w:numPr>
          <w:ilvl w:val="0"/>
          <w:numId w:val="40"/>
        </w:numPr>
        <w:tabs>
          <w:tab w:val="left" w:pos="993"/>
        </w:tabs>
        <w:spacing w:line="276" w:lineRule="auto"/>
        <w:ind w:left="993" w:hanging="426"/>
        <w:jc w:val="both"/>
      </w:pPr>
      <w:r w:rsidRPr="00AC6C38">
        <w:t>Menjamin mutu barang dan/atau jasa yang diproduksi dan/atau diperdagangkan berdasarkan ketentuan standar mutu barang dan/atau jasa yang berlaku;</w:t>
      </w:r>
    </w:p>
    <w:p w14:paraId="4ADD8B36" w14:textId="77777777" w:rsidR="00BC5FF7" w:rsidRPr="00AC6C38" w:rsidRDefault="00BC5FF7" w:rsidP="00E50CE0">
      <w:pPr>
        <w:numPr>
          <w:ilvl w:val="0"/>
          <w:numId w:val="40"/>
        </w:numPr>
        <w:tabs>
          <w:tab w:val="left" w:pos="993"/>
        </w:tabs>
        <w:spacing w:line="276" w:lineRule="auto"/>
        <w:ind w:left="993" w:hanging="426"/>
        <w:jc w:val="both"/>
      </w:pPr>
      <w:r w:rsidRPr="00AC6C38">
        <w:t>Memberi kesempatan kepada konsumen untuk menguji, dan/atau mencoba barang dan/atau jasa tertentu serta memberi jaminan dan/atau garansi atas barang yang dibuat dan/atau yang diperdagangkan;</w:t>
      </w:r>
    </w:p>
    <w:p w14:paraId="303283F0" w14:textId="77777777" w:rsidR="00BC5FF7" w:rsidRPr="00AC6C38" w:rsidRDefault="00BC5FF7" w:rsidP="00E50CE0">
      <w:pPr>
        <w:numPr>
          <w:ilvl w:val="0"/>
          <w:numId w:val="40"/>
        </w:numPr>
        <w:tabs>
          <w:tab w:val="left" w:pos="993"/>
        </w:tabs>
        <w:spacing w:line="276" w:lineRule="auto"/>
        <w:ind w:left="993" w:hanging="426"/>
        <w:jc w:val="both"/>
      </w:pPr>
      <w:r w:rsidRPr="00AC6C38">
        <w:t>Memberi kompensasi, ganti rugi dan/atau penggantian atas kerugian akibat penggunaan, pemakaian dan pemanfaatan barang dan/atau jasa yang diperdagangkan;</w:t>
      </w:r>
    </w:p>
    <w:p w14:paraId="1A43C550" w14:textId="253CBCEC" w:rsidR="004E096B" w:rsidRPr="00AC6C38" w:rsidRDefault="00BC5FF7" w:rsidP="00E50CE0">
      <w:pPr>
        <w:numPr>
          <w:ilvl w:val="0"/>
          <w:numId w:val="40"/>
        </w:numPr>
        <w:tabs>
          <w:tab w:val="left" w:pos="993"/>
        </w:tabs>
        <w:spacing w:line="276" w:lineRule="auto"/>
        <w:ind w:left="993" w:hanging="426"/>
        <w:jc w:val="both"/>
      </w:pPr>
      <w:r w:rsidRPr="00AC6C38">
        <w:t>Memberi kompensasi, ganti rugi dan/atau penggantian apabila barang dan/atau jasa yang diterima atau dimanfaatkan tidak sesuai dengan perjanjian</w:t>
      </w:r>
      <w:r w:rsidR="00500D94" w:rsidRPr="00AC6C38">
        <w:t>”</w:t>
      </w:r>
      <w:r w:rsidRPr="00AC6C38">
        <w:t>.</w:t>
      </w:r>
    </w:p>
    <w:p w14:paraId="34F54A9B" w14:textId="0EC41470" w:rsidR="00BC5FF7" w:rsidRPr="00AC6C38" w:rsidRDefault="0051400A" w:rsidP="00E50CE0">
      <w:pPr>
        <w:spacing w:line="276" w:lineRule="auto"/>
        <w:ind w:left="426" w:firstLine="567"/>
        <w:jc w:val="both"/>
      </w:pPr>
      <w:r w:rsidRPr="00AC6C38">
        <w:rPr>
          <w:lang w:val="id-ID"/>
        </w:rPr>
        <w:t>Pada</w:t>
      </w:r>
      <w:r w:rsidR="00BC5FF7" w:rsidRPr="00AC6C38">
        <w:t xml:space="preserve"> bahasan terkait dengan perdagangan media elektronik atau </w:t>
      </w:r>
      <w:r w:rsidR="00BC5FF7" w:rsidRPr="00AC6C38">
        <w:rPr>
          <w:i/>
          <w:iCs/>
        </w:rPr>
        <w:t>e-commerce</w:t>
      </w:r>
      <w:r w:rsidR="00BC5FF7" w:rsidRPr="00AC6C38">
        <w:t xml:space="preserve">, apsek hukum perlindungan konsumen yang terdapat dalam UUPK adalah mengenai aspek perbuatan yang dilarang bagi pelaku usaha dan tanggungjawab pelaku usaha. Aspek perbuatan yang dilarang bagi pelaku usaha diatur dalam Pasal 8 s/d Pasal 17 UUPK. Aspek ini dapat diberlakukan apabila dapat dibuktikan bahwa barang dan/atau jasa yang diperdagangkan </w:t>
      </w:r>
      <w:r w:rsidR="00BC5FF7" w:rsidRPr="00AC6C38">
        <w:lastRenderedPageBreak/>
        <w:t>melanggar ketentuan ini. Selanjutnya terkait dengan hal ini pula</w:t>
      </w:r>
      <w:r w:rsidRPr="00AC6C38">
        <w:rPr>
          <w:lang w:val="id-ID"/>
        </w:rPr>
        <w:t>,</w:t>
      </w:r>
      <w:r w:rsidR="00BC5FF7" w:rsidRPr="00AC6C38">
        <w:t xml:space="preserve"> tentang dilarangnya iklan yang menyesatkan konsumen maupun mengelabui, seolah-olah barang dan/atau jasa yang ditawarkan mempunyai kondisi yang baik namun pada kenyataannya tidak. Kemudian mengenai aspek tanggungjawab yang berlaku bagi pelaku usaha, apabila konsumen menerima barang yang diperjanjikan tidak sesuai yang diperjanjikan. Aspek tanggungjawab pelaku usaha di atur dalam Pasal 19 s/d Pasal 28</w:t>
      </w:r>
      <w:r w:rsidRPr="00AC6C38">
        <w:rPr>
          <w:lang w:val="id-ID"/>
        </w:rPr>
        <w:t xml:space="preserve"> UUPK</w:t>
      </w:r>
      <w:r w:rsidR="00BC5FF7" w:rsidRPr="00AC6C38">
        <w:t>. Mengenai aspek ini berlaku pada saat pelaku usaha melakukan hal yang merugikan konsumen.</w:t>
      </w:r>
    </w:p>
    <w:p w14:paraId="413BED28" w14:textId="1F794F5E" w:rsidR="004E096B" w:rsidRPr="00AC6C38" w:rsidRDefault="00500D94" w:rsidP="00E50CE0">
      <w:pPr>
        <w:spacing w:line="276" w:lineRule="auto"/>
        <w:ind w:left="426" w:firstLine="567"/>
        <w:jc w:val="both"/>
        <w:rPr>
          <w:lang w:val="id-ID"/>
        </w:rPr>
      </w:pPr>
      <w:r w:rsidRPr="00AC6C38">
        <w:t>“</w:t>
      </w:r>
      <w:r w:rsidR="00BC5FF7" w:rsidRPr="00AC6C38">
        <w:t>Dalam transaksi jual beli media elektronik</w:t>
      </w:r>
      <w:r w:rsidR="00794F2E" w:rsidRPr="00AC6C38">
        <w:t xml:space="preserve"> </w:t>
      </w:r>
      <w:r w:rsidR="00794F2E" w:rsidRPr="00AC6C38">
        <w:fldChar w:fldCharType="begin" w:fldLock="1"/>
      </w:r>
      <w:r w:rsidR="00794F2E" w:rsidRPr="00AC6C38">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approach.","author":[{"dropping-particle":"","family":"Zakiyah","given":"","non-dropping-particle":"","parse-names":false,"suffix":""}],"container-title":"al adl","id":"ITEM-1","issue":"3","issued":{"date-parts":[["2017"]]},"page":"435-451","title":"klausula eksonerasi dalam perspektif perlindungan konsumen","type":"article-journal","volume":"IX"},"uris":["http://www.mendeley.com/documents/?uuid=ee1d34bf-c354-4857-8e90-51a8d5a9067d"]}],"mendeley":{"formattedCitation":"(Zakiyah, 2017)","manualFormatting":"(Zakiyah, 2017:435-451)","plainTextFormattedCitation":"(Zakiyah, 2017)","previouslyFormattedCitation":"(Zakiyah, 2017)"},"properties":{"noteIndex":0},"schema":"https://github.com/citation-style-language/schema/raw/master/csl-citation.json"}</w:instrText>
      </w:r>
      <w:r w:rsidR="00794F2E" w:rsidRPr="00AC6C38">
        <w:fldChar w:fldCharType="separate"/>
      </w:r>
      <w:r w:rsidR="00794F2E" w:rsidRPr="00AC6C38">
        <w:rPr>
          <w:noProof/>
        </w:rPr>
        <w:t>(Zakiyah, 2017:435-451)</w:t>
      </w:r>
      <w:r w:rsidR="00794F2E" w:rsidRPr="00AC6C38">
        <w:fldChar w:fldCharType="end"/>
      </w:r>
      <w:r w:rsidR="004E096B" w:rsidRPr="00AC6C38">
        <w:rPr>
          <w:lang w:val="id-ID"/>
        </w:rPr>
        <w:t xml:space="preserve">, </w:t>
      </w:r>
      <w:r w:rsidR="00BC5FF7" w:rsidRPr="00AC6C38">
        <w:t>keadaan yang tidak diinginkan adalah ketika terjadi kerugian terhadap konsumen</w:t>
      </w:r>
      <w:r w:rsidRPr="00AC6C38">
        <w:t>”</w:t>
      </w:r>
      <w:r w:rsidR="00BC5FF7" w:rsidRPr="00AC6C38">
        <w:t xml:space="preserve">. Kerugian tersebut mungkin diakibatkan </w:t>
      </w:r>
      <w:r w:rsidR="0051400A" w:rsidRPr="00AC6C38">
        <w:rPr>
          <w:lang w:val="id-ID"/>
        </w:rPr>
        <w:t xml:space="preserve">karena </w:t>
      </w:r>
      <w:r w:rsidR="00BC5FF7" w:rsidRPr="00AC6C38">
        <w:t>informasi yang diberikan oleh pelaku usaha dalam mengiklankan produk barang/jasa yang tidak benar. Ketika mengalami kerugian</w:t>
      </w:r>
      <w:r w:rsidR="0051400A" w:rsidRPr="00AC6C38">
        <w:rPr>
          <w:lang w:val="id-ID"/>
        </w:rPr>
        <w:t>,</w:t>
      </w:r>
      <w:r w:rsidR="00BC5FF7" w:rsidRPr="00AC6C38">
        <w:t xml:space="preserve"> konsumen berhak untuk mendapatkan ganti rugi yang ketentuannya terdapat dalam Pasal 4 huruf h UUPK yaitu</w:t>
      </w:r>
      <w:r w:rsidR="004E096B" w:rsidRPr="00AC6C38">
        <w:rPr>
          <w:lang w:val="id-ID"/>
        </w:rPr>
        <w:t>:</w:t>
      </w:r>
    </w:p>
    <w:p w14:paraId="3305F0FF" w14:textId="77777777" w:rsidR="004E096B" w:rsidRPr="00AC6C38" w:rsidRDefault="00BC5FF7" w:rsidP="00E50CE0">
      <w:pPr>
        <w:spacing w:line="276" w:lineRule="auto"/>
        <w:ind w:left="993"/>
        <w:jc w:val="both"/>
      </w:pPr>
      <w:r w:rsidRPr="00AC6C38">
        <w:t>“</w:t>
      </w:r>
      <w:r w:rsidR="004E096B" w:rsidRPr="00AC6C38">
        <w:rPr>
          <w:lang w:val="id-ID"/>
        </w:rPr>
        <w:t>K</w:t>
      </w:r>
      <w:r w:rsidRPr="00AC6C38">
        <w:t>onsumen berhak untuk medapatkan kompenasi ganti rugi dan/atau penggantian, apabila barang dan/atau jasa yang diterima tidak sesuai dengan perjanjian atau tidak sebagaimana mestinya”.</w:t>
      </w:r>
    </w:p>
    <w:p w14:paraId="05FB3BD6" w14:textId="77777777" w:rsidR="004E096B" w:rsidRPr="00AC6C38" w:rsidRDefault="00BC5FF7" w:rsidP="00E50CE0">
      <w:pPr>
        <w:spacing w:line="276" w:lineRule="auto"/>
        <w:ind w:left="426" w:firstLine="567"/>
        <w:jc w:val="both"/>
      </w:pPr>
      <w:r w:rsidRPr="00AC6C38">
        <w:t xml:space="preserve">Pelaku usaha harus bertanggungjawab atas kerugian yang diderita konsumen. Ketentuan mengenai tanggung jawab pelaku usaha terdapat dalam Pasal 19 UUPK yaitu: </w:t>
      </w:r>
    </w:p>
    <w:p w14:paraId="12332203" w14:textId="77777777" w:rsidR="00BC5FF7" w:rsidRPr="00AC6C38" w:rsidRDefault="00BC5FF7" w:rsidP="00E50CE0">
      <w:pPr>
        <w:spacing w:line="276" w:lineRule="auto"/>
        <w:ind w:left="993"/>
        <w:jc w:val="both"/>
      </w:pPr>
      <w:r w:rsidRPr="00AC6C38">
        <w:t>“Pelaku usaha bertanggung jawab memberikan ganti rugi atas kerusakan, pencemaran, dan/atau kerugian konsumen akibat mengkonsumsi barang dan/atau jasa yang dihasilkan atau diperdagangkan”.</w:t>
      </w:r>
    </w:p>
    <w:p w14:paraId="4EAC9971" w14:textId="4206C712" w:rsidR="00BC5FF7" w:rsidRPr="00AC6C38" w:rsidRDefault="00500D94" w:rsidP="00E50CE0">
      <w:pPr>
        <w:spacing w:line="276" w:lineRule="auto"/>
        <w:ind w:left="426" w:firstLine="567"/>
        <w:jc w:val="both"/>
      </w:pPr>
      <w:r w:rsidRPr="00AC6C38">
        <w:t>“</w:t>
      </w:r>
      <w:r w:rsidR="00BC5FF7" w:rsidRPr="00AC6C38">
        <w:t>Bentuk perlindungan terhadap masyarakat mempunyai banyak dimensi</w:t>
      </w:r>
      <w:r w:rsidR="004E096B" w:rsidRPr="00AC6C38">
        <w:rPr>
          <w:lang w:val="id-ID"/>
        </w:rPr>
        <w:t>. S</w:t>
      </w:r>
      <w:r w:rsidR="00BC5FF7" w:rsidRPr="00AC6C38">
        <w:t>alah satunya yaitu perlindungan hukum</w:t>
      </w:r>
      <w:r w:rsidRPr="00AC6C38">
        <w:t>”</w:t>
      </w:r>
      <w:r w:rsidR="00794F2E" w:rsidRPr="00AC6C38">
        <w:t xml:space="preserve"> </w:t>
      </w:r>
      <w:r w:rsidR="00794F2E" w:rsidRPr="00AC6C38">
        <w:fldChar w:fldCharType="begin" w:fldLock="1"/>
      </w:r>
      <w:r w:rsidR="00777B0E" w:rsidRPr="00AC6C38">
        <w:instrText>ADDIN CSL_CITATION {"citationItems":[{"id":"ITEM-1","itemData":{"author":[{"dropping-particle":"","family":"Muhaimin","given":"Muhammad","non-dropping-particle":"","parse-names":false,"suffix":""}],"id":"ITEM-1","issued":{"date-parts":[["2004"]]},"title":"Perjanjian baku (standart contract) dalam kegiatan ekonomi","type":"article-journal"},"uris":["http://www.mendeley.com/documents/?uuid=c9e95b80-e26c-477b-a70d-c920d9e34b45"]}],"mendeley":{"formattedCitation":"(Muhaimin, 2004)","manualFormatting":"(Muhaimin, 2004:88)","plainTextFormattedCitation":"(Muhaimin, 2004)","previouslyFormattedCitation":"(Muhaimin, 2004)"},"properties":{"noteIndex":0},"schema":"https://github.com/citation-style-language/schema/raw/master/csl-citation.json"}</w:instrText>
      </w:r>
      <w:r w:rsidR="00794F2E" w:rsidRPr="00AC6C38">
        <w:fldChar w:fldCharType="separate"/>
      </w:r>
      <w:r w:rsidR="00794F2E" w:rsidRPr="00AC6C38">
        <w:rPr>
          <w:noProof/>
        </w:rPr>
        <w:t>(Muhaimin, 2004:88)</w:t>
      </w:r>
      <w:r w:rsidR="00794F2E" w:rsidRPr="00AC6C38">
        <w:fldChar w:fldCharType="end"/>
      </w:r>
      <w:r w:rsidR="00BC5FF7" w:rsidRPr="00AC6C38">
        <w:t>. Adanya benturan kepentingan di dalam masyarakat harus dapat diminimalisasi dengan kehadiran hukum dalam masyarakat. Adanya perlindungan hukum bagi seluruh rakyat Indonesia dapat ditemukan dalam UUD 194</w:t>
      </w:r>
      <w:r w:rsidR="0051400A" w:rsidRPr="00AC6C38">
        <w:rPr>
          <w:lang w:val="id-ID"/>
        </w:rPr>
        <w:t xml:space="preserve">5. </w:t>
      </w:r>
      <w:r w:rsidR="004E096B" w:rsidRPr="00AC6C38">
        <w:rPr>
          <w:lang w:val="id-ID"/>
        </w:rPr>
        <w:t>O</w:t>
      </w:r>
      <w:r w:rsidR="00BC5FF7" w:rsidRPr="00AC6C38">
        <w:t>leh karena itu</w:t>
      </w:r>
      <w:r w:rsidR="004E096B" w:rsidRPr="00AC6C38">
        <w:rPr>
          <w:lang w:val="id-ID"/>
        </w:rPr>
        <w:t>,</w:t>
      </w:r>
      <w:r w:rsidR="00BC5FF7" w:rsidRPr="00AC6C38">
        <w:t xml:space="preserve"> setiap produk yang dihasilkan oleh legislatif harus mampu memberikan perlindungan hukum bagi seluruh masyarakat. Pada </w:t>
      </w:r>
      <w:r w:rsidR="00EF2586" w:rsidRPr="00AC6C38">
        <w:rPr>
          <w:lang w:val="id-ID"/>
        </w:rPr>
        <w:t>“</w:t>
      </w:r>
      <w:r w:rsidR="00BC5FF7" w:rsidRPr="00AC6C38">
        <w:t>Pasal 1 angka 1 UUPK dijelaskan bahwa perlindungan konsumen merupakan upaya yang dapat menjamin adanya kepastian hukum untuk memberikan perlindungan kepada konsumen</w:t>
      </w:r>
      <w:r w:rsidR="00EF2586" w:rsidRPr="00AC6C38">
        <w:rPr>
          <w:lang w:val="id-ID"/>
        </w:rPr>
        <w:t>”</w:t>
      </w:r>
      <w:r w:rsidR="00BC5FF7" w:rsidRPr="00AC6C38">
        <w:t xml:space="preserve">. Dalam asasnya, perlindungan konsumen ditujukan untuk kemanfaatan, keadilan, keseimbangan, </w:t>
      </w:r>
      <w:r w:rsidR="00BC5FF7" w:rsidRPr="00AC6C38">
        <w:lastRenderedPageBreak/>
        <w:t xml:space="preserve">keamanan, keselamatan konsumen serta kepastian hukum. </w:t>
      </w:r>
    </w:p>
    <w:p w14:paraId="4E876169" w14:textId="77777777" w:rsidR="00BC5FF7" w:rsidRPr="00AC6C38" w:rsidRDefault="00BC5FF7" w:rsidP="00E50CE0">
      <w:pPr>
        <w:spacing w:line="276" w:lineRule="auto"/>
        <w:ind w:left="426" w:firstLine="567"/>
        <w:jc w:val="both"/>
      </w:pPr>
      <w:r w:rsidRPr="00AC6C38">
        <w:t xml:space="preserve">Batasan tanggung jawab </w:t>
      </w:r>
      <w:r w:rsidRPr="00AC6C38">
        <w:rPr>
          <w:i/>
          <w:iCs/>
        </w:rPr>
        <w:t>RedDoorz</w:t>
      </w:r>
      <w:r w:rsidRPr="00AC6C38">
        <w:t xml:space="preserve"> mengenai aplikasinya kepada pelanggan tertulis </w:t>
      </w:r>
      <w:r w:rsidRPr="00AC6C38">
        <w:fldChar w:fldCharType="begin" w:fldLock="1"/>
      </w:r>
      <w:r w:rsidRPr="00AC6C38">
        <w:instrText>ADDIN CSL_CITATION {"citationItems":[{"id":"ITEM-1","itemData":{"URL":"https://www.reddoorz.com/id-id/terms","author":[{"dropping-particle":"","family":"RedDoorz","given":"","non-dropping-particle":"","parse-names":false,"suffix":""}],"id":"ITEM-1","issued":{"date-parts":[["0"]]},"title":"syarat dan ketentuan","type":"webpage"},"uris":["http://www.mendeley.com/documents/?uuid=87dc3f47-3160-47e9-8afe-1ce7af7d264a"]}],"mendeley":{"formattedCitation":"(RedDoorz, n.d.)","plainTextFormattedCitation":"(RedDoorz, n.d.)","previouslyFormattedCitation":"(RedDoorz, n.d.)"},"properties":{"noteIndex":0},"schema":"https://github.com/citation-style-language/schema/raw/master/csl-citation.json"}</w:instrText>
      </w:r>
      <w:r w:rsidRPr="00AC6C38">
        <w:fldChar w:fldCharType="separate"/>
      </w:r>
      <w:r w:rsidRPr="00AC6C38">
        <w:rPr>
          <w:noProof/>
        </w:rPr>
        <w:t>(</w:t>
      </w:r>
      <w:r w:rsidRPr="00AC6C38">
        <w:rPr>
          <w:i/>
          <w:iCs/>
          <w:noProof/>
        </w:rPr>
        <w:t>RedDoorz</w:t>
      </w:r>
      <w:r w:rsidRPr="00AC6C38">
        <w:rPr>
          <w:noProof/>
        </w:rPr>
        <w:t>, n.d.)</w:t>
      </w:r>
      <w:r w:rsidRPr="00AC6C38">
        <w:fldChar w:fldCharType="end"/>
      </w:r>
    </w:p>
    <w:p w14:paraId="3AB0DF6C" w14:textId="77777777" w:rsidR="00BC5FF7" w:rsidRPr="00AC6C38" w:rsidRDefault="00BC5FF7" w:rsidP="00E50CE0">
      <w:pPr>
        <w:spacing w:line="276" w:lineRule="auto"/>
        <w:ind w:left="993" w:right="282"/>
        <w:jc w:val="both"/>
      </w:pPr>
      <w:r w:rsidRPr="00AC6C38">
        <w:t>“</w:t>
      </w:r>
      <w:r w:rsidRPr="00AC6C38">
        <w:rPr>
          <w:i/>
          <w:iCs/>
        </w:rPr>
        <w:t>RedDoorz</w:t>
      </w:r>
      <w:r w:rsidRPr="00AC6C38">
        <w:t xml:space="preserve"> tidak bertanggung jawab kepada Anda, atau siapa pun yang menggunakan Layanan melalui akun Anda, untuk setiap klaim, kewajiban, kerusakan, kerugian, dan pengeluaran dalam hal atau bentuk apa pun, tidak langsung, langsung, khusus, konsekuensial, contoh, atau ganti rugi, secara langsung atau yang timbul secara tidak langsung, dari atau sehubungan dengan (i) Ketentuan ini, (ii) penggunaan atau ketidakmampuan untuk menggunakan </w:t>
      </w:r>
      <w:r w:rsidRPr="00AC6C38">
        <w:rPr>
          <w:i/>
          <w:iCs/>
        </w:rPr>
        <w:t>Platform</w:t>
      </w:r>
      <w:r w:rsidRPr="00AC6C38">
        <w:t xml:space="preserve"> (iii) komunikasi, interaksi, atau pertemuan apa pun yang mungkin Anda lakukan dengan seseorang yang berinteraksi atau bertemu dengan Anda melalui, atau sebagai hasil dari, penggunaan Anda atas </w:t>
      </w:r>
      <w:r w:rsidRPr="00AC6C38">
        <w:rPr>
          <w:i/>
          <w:iCs/>
        </w:rPr>
        <w:t>Platform</w:t>
      </w:r>
      <w:r w:rsidRPr="00AC6C38">
        <w:t xml:space="preserve"> (iv) penerbitan atau pemesanan Daftar, termasuk penyediaan atau penggunaan layanan Mitra, (termasuk kehilangan keuntungan yang diantisipasi, kehilangan bisnis, data, informasi pribadi), kecuali kerugian langsung yang timbul dari atau sehubungan dengan penggunaan akun Anda di </w:t>
      </w:r>
      <w:r w:rsidRPr="00AC6C38">
        <w:rPr>
          <w:i/>
          <w:iCs/>
        </w:rPr>
        <w:t>Platform</w:t>
      </w:r>
      <w:r w:rsidRPr="00AC6C38">
        <w:t xml:space="preserve"> kami yang dapat dibuktikan terjadi karena kelalaian berat kami atau pelanggaran lainnya. Dalam keadaan apa pun, tanggung jawab total </w:t>
      </w:r>
      <w:r w:rsidRPr="00AC6C38">
        <w:rPr>
          <w:i/>
          <w:iCs/>
        </w:rPr>
        <w:t>RedDoorz</w:t>
      </w:r>
      <w:r w:rsidRPr="00AC6C38">
        <w:t xml:space="preserve"> kepada Anda atas semua kerugian, dan penyebab tindakan (baik dalam kontrak atau kesalahan, termasuk namun tidak terbatas pada kelalaian atau lainnya) untuk ketentuan penggunaan Anda atas </w:t>
      </w:r>
      <w:r w:rsidRPr="00AC6C38">
        <w:rPr>
          <w:i/>
          <w:iCs/>
        </w:rPr>
        <w:t>Platform</w:t>
      </w:r>
      <w:r w:rsidRPr="00AC6C38">
        <w:t xml:space="preserve"> ini tidak boleh melebihi US$50,00”.</w:t>
      </w:r>
    </w:p>
    <w:p w14:paraId="6FEFD3C5" w14:textId="1027429C" w:rsidR="00A45B2D" w:rsidRPr="00AC6C38" w:rsidRDefault="00BC5FF7" w:rsidP="00E50CE0">
      <w:pPr>
        <w:spacing w:line="276" w:lineRule="auto"/>
        <w:ind w:left="426" w:firstLine="567"/>
        <w:jc w:val="both"/>
        <w:rPr>
          <w:lang w:val="id-ID"/>
        </w:rPr>
      </w:pPr>
      <w:bookmarkStart w:id="3" w:name="_Hlk107439207"/>
      <w:r w:rsidRPr="00AC6C38">
        <w:t>Pada kata di</w:t>
      </w:r>
      <w:r w:rsidR="00E63E12" w:rsidRPr="00AC6C38">
        <w:rPr>
          <w:lang w:val="id-ID"/>
        </w:rPr>
        <w:t xml:space="preserve"> </w:t>
      </w:r>
      <w:r w:rsidRPr="00AC6C38">
        <w:t xml:space="preserve">atas menunjukan bahwa </w:t>
      </w:r>
      <w:r w:rsidRPr="00AC6C38">
        <w:rPr>
          <w:i/>
          <w:iCs/>
        </w:rPr>
        <w:t>RedDoorz</w:t>
      </w:r>
      <w:r w:rsidRPr="00AC6C38">
        <w:t xml:space="preserve"> telah melakukan pengalihan tanggung jawab kepada p</w:t>
      </w:r>
      <w:r w:rsidR="00E63E12" w:rsidRPr="00AC6C38">
        <w:rPr>
          <w:lang w:val="id-ID"/>
        </w:rPr>
        <w:t xml:space="preserve">engguna aplikasi </w:t>
      </w:r>
      <w:r w:rsidR="00E63E12" w:rsidRPr="00AC6C38">
        <w:rPr>
          <w:i/>
          <w:iCs/>
          <w:lang w:val="id-ID"/>
        </w:rPr>
        <w:t>RedDoorz</w:t>
      </w:r>
      <w:r w:rsidRPr="00AC6C38">
        <w:t>.</w:t>
      </w:r>
      <w:r w:rsidR="00A45B2D" w:rsidRPr="00AC6C38">
        <w:t xml:space="preserve"> Perlindungan hukum</w:t>
      </w:r>
      <w:r w:rsidR="00A45B2D" w:rsidRPr="00AC6C38">
        <w:rPr>
          <w:lang w:val="id-ID"/>
        </w:rPr>
        <w:t>nya</w:t>
      </w:r>
      <w:r w:rsidR="00A45B2D" w:rsidRPr="00AC6C38">
        <w:t xml:space="preserve"> dibagi menjadi dua yaitu </w:t>
      </w:r>
      <w:r w:rsidR="00A45B2D" w:rsidRPr="00AC6C38">
        <w:fldChar w:fldCharType="begin" w:fldLock="1"/>
      </w:r>
      <w:r w:rsidR="00A45B2D" w:rsidRPr="00AC6C38">
        <w:instrText>ADDIN CSL_CITATION {"citationItems":[{"id":"ITEM-1","itemData":{"author":[{"dropping-particle":"","family":"Almaida","given":"Zennia","non-dropping-particle":"","parse-names":false,"suffix":""}],"container-title":"Privat Law","id":"ITEM-1","issued":{"date-parts":[["2021"]]},"page":"218-226","title":"Perlindungan hukum preventif dan represif bagi pengguna uang elektronik dalam melakukan transaksi tol nontunai","type":"article-journal","volume":"9"},"uris":["http://www.mendeley.com/documents/?uuid=064d72fc-a261-491c-b100-89a90cf88443"]}],"mendeley":{"formattedCitation":"(Almaida, 2021)","plainTextFormattedCitation":"(Almaida, 2021)","previouslyFormattedCitation":"(Almaida, 2021)"},"properties":{"noteIndex":0},"schema":"https://github.com/citation-style-language/schema/raw/master/csl-citation.json"}</w:instrText>
      </w:r>
      <w:r w:rsidR="00A45B2D" w:rsidRPr="00AC6C38">
        <w:fldChar w:fldCharType="separate"/>
      </w:r>
      <w:r w:rsidR="00A45B2D" w:rsidRPr="00AC6C38">
        <w:rPr>
          <w:noProof/>
        </w:rPr>
        <w:t>(Almaida, 2021)</w:t>
      </w:r>
      <w:r w:rsidR="00A45B2D" w:rsidRPr="00AC6C38">
        <w:fldChar w:fldCharType="end"/>
      </w:r>
      <w:r w:rsidR="00A45B2D" w:rsidRPr="00AC6C38">
        <w:rPr>
          <w:lang w:val="id-ID"/>
        </w:rPr>
        <w:t>:</w:t>
      </w:r>
    </w:p>
    <w:p w14:paraId="5E9C2A25" w14:textId="77777777" w:rsidR="00A45B2D" w:rsidRPr="00AC6C38" w:rsidRDefault="00A45B2D" w:rsidP="00E50CE0">
      <w:pPr>
        <w:numPr>
          <w:ilvl w:val="0"/>
          <w:numId w:val="31"/>
        </w:numPr>
        <w:tabs>
          <w:tab w:val="left" w:pos="851"/>
        </w:tabs>
        <w:spacing w:line="276" w:lineRule="auto"/>
        <w:ind w:left="851" w:hanging="425"/>
        <w:jc w:val="both"/>
      </w:pPr>
      <w:r w:rsidRPr="00AC6C38">
        <w:t>Perlindungan Preventif</w:t>
      </w:r>
    </w:p>
    <w:p w14:paraId="2809C34E" w14:textId="77777777" w:rsidR="00A45B2D" w:rsidRPr="00AC6C38" w:rsidRDefault="00A45B2D" w:rsidP="00E50CE0">
      <w:pPr>
        <w:tabs>
          <w:tab w:val="left" w:pos="851"/>
        </w:tabs>
        <w:spacing w:line="276" w:lineRule="auto"/>
        <w:ind w:left="851"/>
        <w:jc w:val="both"/>
        <w:rPr>
          <w:lang w:val="id-ID"/>
        </w:rPr>
      </w:pPr>
      <w:r w:rsidRPr="00AC6C38">
        <w:tab/>
        <w:t xml:space="preserve">Perlindungan yang diberikan dengan tujuan untuk mencegah sebelum terjadinya pelanggaran. Pada perlindungan hukum preventif ini subyek hukum diberikan kesempatan untuk mengajukan keberatan atau pendapatnya sebelum suatu keputusan </w:t>
      </w:r>
      <w:r w:rsidRPr="00AC6C38">
        <w:lastRenderedPageBreak/>
        <w:t xml:space="preserve">pemerintah mendapat bentuk definitif. Wujud perlindungan hukum preventif dapat diwujudkan melalui pengaturan ketentuan tentang penggunaan perjanjian standar atau perjanjian baku yang lebih rinci mengenai hakekat, karakter, pembagian hak dan kewajiban yang dituangkan dalam bentuk undang-undang yang menjadi memberi wadah atau tempat berlindung bagi pengguna </w:t>
      </w:r>
      <w:r w:rsidRPr="00AC6C38">
        <w:rPr>
          <w:lang w:val="id-ID"/>
        </w:rPr>
        <w:t xml:space="preserve">aplikasi </w:t>
      </w:r>
      <w:r w:rsidRPr="00AC6C38">
        <w:rPr>
          <w:i/>
          <w:iCs/>
          <w:lang w:val="id-ID"/>
        </w:rPr>
        <w:t>RedDoorz</w:t>
      </w:r>
      <w:r w:rsidRPr="00AC6C38">
        <w:t xml:space="preserve"> melalui pengaturan klausul-klausul di dalam perjanjia</w:t>
      </w:r>
      <w:r w:rsidRPr="00AC6C38">
        <w:rPr>
          <w:lang w:val="id-ID"/>
        </w:rPr>
        <w:t xml:space="preserve">n baku syarat dan ketentuan aplikasi </w:t>
      </w:r>
      <w:r w:rsidRPr="00AC6C38">
        <w:rPr>
          <w:i/>
          <w:iCs/>
          <w:lang w:val="id-ID"/>
        </w:rPr>
        <w:t>RedDoorz</w:t>
      </w:r>
      <w:r w:rsidRPr="00AC6C38">
        <w:rPr>
          <w:lang w:val="id-ID"/>
        </w:rPr>
        <w:t>. Pengaturan tersebut telah diatur dalam Pasal 1320 KUHPerdata yang mengatur mengenai syarat sahnya perjanjian, serta dalam Pasal 18 UUPK yang mengatur mengenai hal-hal yang dilarang dalam pembuatan dan/ atau pencantuman pada klausula baku.</w:t>
      </w:r>
    </w:p>
    <w:p w14:paraId="19965676" w14:textId="77777777" w:rsidR="00A45B2D" w:rsidRPr="00AC6C38" w:rsidRDefault="00A45B2D" w:rsidP="00E50CE0">
      <w:pPr>
        <w:tabs>
          <w:tab w:val="left" w:pos="851"/>
        </w:tabs>
        <w:spacing w:line="276" w:lineRule="auto"/>
        <w:ind w:left="851"/>
        <w:jc w:val="both"/>
        <w:rPr>
          <w:lang w:val="id-ID"/>
        </w:rPr>
      </w:pPr>
      <w:r w:rsidRPr="00AC6C38">
        <w:rPr>
          <w:lang w:val="id-ID"/>
        </w:rPr>
        <w:tab/>
      </w:r>
      <w:r w:rsidRPr="00AC6C38">
        <w:t xml:space="preserve">“Perlindungan hukum </w:t>
      </w:r>
      <w:r w:rsidRPr="00AC6C38">
        <w:fldChar w:fldCharType="begin" w:fldLock="1"/>
      </w:r>
      <w:r w:rsidRPr="00AC6C38">
        <w:instrText>ADDIN CSL_CITATION {"citationItems":[{"id":"ITEM-1","itemData":{"author":[{"dropping-particle":"","family":"Hadjon","given":"Phillipus M.","non-dropping-particle":"","parse-names":false,"suffix":""}],"id":"ITEM-1","issued":{"date-parts":[["1987"]]},"number-of-pages":"17-51","title":"Perlindungan Hukum Bagi Rakyat Di Indonesia","type":"book"},"uris":["http://www.mendeley.com/documents/?uuid=c5c1ba21-cc52-482f-99c4-02d65984cb15"]}],"mendeley":{"formattedCitation":"(Hadjon, 1987)","manualFormatting":"(Hadjon, 1987: 25)","plainTextFormattedCitation":"(Hadjon, 1987)","previouslyFormattedCitation":"(Hadjon, 1987)"},"properties":{"noteIndex":0},"schema":"https://github.com/citation-style-language/schema/raw/master/csl-citation.json"}</w:instrText>
      </w:r>
      <w:r w:rsidRPr="00AC6C38">
        <w:fldChar w:fldCharType="separate"/>
      </w:r>
      <w:r w:rsidRPr="00AC6C38">
        <w:rPr>
          <w:noProof/>
        </w:rPr>
        <w:t>(Hadjon, 1987: 25)</w:t>
      </w:r>
      <w:r w:rsidRPr="00AC6C38">
        <w:fldChar w:fldCharType="end"/>
      </w:r>
      <w:r w:rsidRPr="00AC6C38">
        <w:t xml:space="preserve"> adalah p</w:t>
      </w:r>
      <w:r w:rsidRPr="00AC6C38">
        <w:rPr>
          <w:lang w:val="id-ID"/>
        </w:rPr>
        <w:t>er</w:t>
      </w:r>
      <w:r w:rsidRPr="00AC6C38">
        <w:t>lindungan harkat dan martabat, serta pengakuan terhadap hak-hak asasi manusia yang dimiliki oleh subyek hukum berdasarkan ketentuan hukum dari kesewenangan atau sebagai kumpulan peraturan atau kaidan yang akan dapat melindungi suatu dari hal lainnya”. Berkaitan dengan konsumen</w:t>
      </w:r>
      <w:r w:rsidRPr="00AC6C38">
        <w:rPr>
          <w:lang w:val="id-ID"/>
        </w:rPr>
        <w:t>,</w:t>
      </w:r>
      <w:r w:rsidRPr="00AC6C38">
        <w:t xml:space="preserve"> berarti hukum memberikan perlindungan terhadap hak-hak pelanggan dari sesuatu yang mengakibatkan tidak terpenuhinya hak-hak tersebut.</w:t>
      </w:r>
    </w:p>
    <w:p w14:paraId="377FBF84" w14:textId="77777777" w:rsidR="00A45B2D" w:rsidRPr="00AC6C38" w:rsidRDefault="00A45B2D" w:rsidP="00E50CE0">
      <w:pPr>
        <w:numPr>
          <w:ilvl w:val="0"/>
          <w:numId w:val="31"/>
        </w:numPr>
        <w:tabs>
          <w:tab w:val="left" w:pos="851"/>
        </w:tabs>
        <w:spacing w:line="276" w:lineRule="auto"/>
        <w:ind w:left="851" w:hanging="425"/>
        <w:jc w:val="both"/>
      </w:pPr>
      <w:r w:rsidRPr="00AC6C38">
        <w:t>Perlindungan Represif</w:t>
      </w:r>
    </w:p>
    <w:p w14:paraId="41FB1889" w14:textId="13F48B70" w:rsidR="00D47A5D" w:rsidRPr="00AC6C38" w:rsidRDefault="00A45B2D" w:rsidP="00E50CE0">
      <w:pPr>
        <w:tabs>
          <w:tab w:val="left" w:pos="851"/>
        </w:tabs>
        <w:spacing w:line="276" w:lineRule="auto"/>
        <w:ind w:left="851"/>
        <w:jc w:val="both"/>
      </w:pPr>
      <w:r w:rsidRPr="00AC6C38">
        <w:tab/>
        <w:t>Perlindungan hukum represif ini bertujuan untuk menyelesaikan sengketa</w:t>
      </w:r>
      <w:r w:rsidRPr="00AC6C38">
        <w:rPr>
          <w:lang w:val="id-ID"/>
        </w:rPr>
        <w:t xml:space="preserve"> yang terjadi. </w:t>
      </w:r>
      <w:r w:rsidRPr="00AC6C38">
        <w:t>Perlindungan akhir berupa sanksi seperti denda atau ganti kerugian yang diberikan apabila sudah terjadi sengketa atau suatu pelanggaran</w:t>
      </w:r>
      <w:r w:rsidRPr="00AC6C38">
        <w:rPr>
          <w:lang w:val="id-ID"/>
        </w:rPr>
        <w:t>.</w:t>
      </w:r>
      <w:r w:rsidRPr="00AC6C38">
        <w:t xml:space="preserve"> Bentuk perlindungan represif yang dapat ditempuh oleh p</w:t>
      </w:r>
      <w:r w:rsidRPr="00AC6C38">
        <w:rPr>
          <w:lang w:val="id-ID"/>
        </w:rPr>
        <w:t xml:space="preserve">engguna aplikasi </w:t>
      </w:r>
      <w:r w:rsidRPr="00AC6C38">
        <w:rPr>
          <w:i/>
          <w:iCs/>
          <w:lang w:val="id-ID"/>
        </w:rPr>
        <w:t>RedDoorz</w:t>
      </w:r>
      <w:r w:rsidRPr="00AC6C38">
        <w:rPr>
          <w:lang w:val="id-ID"/>
        </w:rPr>
        <w:t xml:space="preserve"> dan pihak aplikasi </w:t>
      </w:r>
      <w:r w:rsidRPr="00AC6C38">
        <w:rPr>
          <w:i/>
          <w:iCs/>
          <w:lang w:val="id-ID"/>
        </w:rPr>
        <w:t>RedDoorz</w:t>
      </w:r>
      <w:r w:rsidRPr="00AC6C38">
        <w:t xml:space="preserve"> melalui pola penyelesaian sengketa yang dibagi menjadi upaya litigasi atau pengadilan dan upaya non litigasi atau penyelesaian sengketa diluar pengadilan. Upaya penyelesaian sengketa diluar pengadilan meliputi arbitrase dan alternative penyelesaian sengketa seperti, konsultasi, negosiasi, mediasi, konsiliasi dan penilaian ahli.</w:t>
      </w:r>
    </w:p>
    <w:bookmarkEnd w:id="3"/>
    <w:p w14:paraId="2BD217BC" w14:textId="04A0EB54" w:rsidR="00AB7650" w:rsidRPr="00AC6C38" w:rsidRDefault="00AB7650" w:rsidP="00E50CE0">
      <w:pPr>
        <w:spacing w:line="276" w:lineRule="auto"/>
        <w:ind w:left="426" w:firstLine="567"/>
        <w:jc w:val="both"/>
      </w:pPr>
    </w:p>
    <w:p w14:paraId="79A63C2E" w14:textId="77777777" w:rsidR="00D63B0B" w:rsidRPr="00AC6C38" w:rsidRDefault="00D63B0B" w:rsidP="00E50CE0">
      <w:pPr>
        <w:numPr>
          <w:ilvl w:val="0"/>
          <w:numId w:val="30"/>
        </w:numPr>
        <w:spacing w:line="276" w:lineRule="auto"/>
        <w:ind w:left="426" w:hanging="426"/>
        <w:jc w:val="both"/>
        <w:rPr>
          <w:b/>
        </w:rPr>
      </w:pPr>
      <w:r w:rsidRPr="00AC6C38">
        <w:rPr>
          <w:b/>
          <w:lang w:val="id-ID"/>
        </w:rPr>
        <w:t xml:space="preserve">Akibat Hukum Pengalihan Tanggung Jawab Yang Dilakukan Oleh Penyelenggara Aplikasi </w:t>
      </w:r>
      <w:r w:rsidRPr="00AC6C38">
        <w:rPr>
          <w:b/>
          <w:i/>
          <w:iCs/>
          <w:lang w:val="id-ID"/>
        </w:rPr>
        <w:t>Reddoorz</w:t>
      </w:r>
    </w:p>
    <w:p w14:paraId="795F99AF" w14:textId="79BA0A4F" w:rsidR="004E096B" w:rsidRPr="00AC6C38" w:rsidRDefault="004F1ECF" w:rsidP="00E50CE0">
      <w:pPr>
        <w:pStyle w:val="ListParagraph"/>
        <w:spacing w:after="0" w:line="276" w:lineRule="auto"/>
        <w:ind w:left="426" w:firstLine="567"/>
        <w:jc w:val="both"/>
        <w:rPr>
          <w:rFonts w:ascii="Times New Roman" w:hAnsi="Times New Roman"/>
          <w:sz w:val="20"/>
          <w:szCs w:val="20"/>
        </w:rPr>
      </w:pPr>
      <w:r w:rsidRPr="00AC6C38">
        <w:rPr>
          <w:rFonts w:ascii="Times New Roman" w:hAnsi="Times New Roman"/>
          <w:i/>
          <w:sz w:val="20"/>
          <w:szCs w:val="20"/>
        </w:rPr>
        <w:t>E-Commerce</w:t>
      </w:r>
      <w:r w:rsidRPr="00AC6C38">
        <w:rPr>
          <w:rFonts w:ascii="Times New Roman" w:hAnsi="Times New Roman"/>
          <w:sz w:val="20"/>
          <w:szCs w:val="20"/>
        </w:rPr>
        <w:t xml:space="preserve"> </w:t>
      </w:r>
      <w:r w:rsidR="00E63E12" w:rsidRPr="00AC6C38">
        <w:rPr>
          <w:rFonts w:ascii="Times New Roman" w:hAnsi="Times New Roman"/>
          <w:sz w:val="20"/>
          <w:szCs w:val="20"/>
        </w:rPr>
        <w:t>telah</w:t>
      </w:r>
      <w:r w:rsidRPr="00AC6C38">
        <w:rPr>
          <w:rFonts w:ascii="Times New Roman" w:hAnsi="Times New Roman"/>
          <w:sz w:val="20"/>
          <w:szCs w:val="20"/>
        </w:rPr>
        <w:t xml:space="preserve"> diatur secara jelas dalam Undang-undang Nomor 7 Tahun 2014 tentang </w:t>
      </w:r>
      <w:r w:rsidRPr="00AC6C38">
        <w:rPr>
          <w:rFonts w:ascii="Times New Roman" w:hAnsi="Times New Roman"/>
          <w:sz w:val="20"/>
          <w:szCs w:val="20"/>
        </w:rPr>
        <w:lastRenderedPageBreak/>
        <w:t>Perdagangan</w:t>
      </w:r>
      <w:r w:rsidR="00E63E12" w:rsidRPr="00AC6C38">
        <w:rPr>
          <w:rFonts w:ascii="Times New Roman" w:hAnsi="Times New Roman"/>
          <w:sz w:val="20"/>
          <w:szCs w:val="20"/>
        </w:rPr>
        <w:t xml:space="preserve"> (selanjutnya disebut</w:t>
      </w:r>
      <w:r w:rsidR="00922FEB" w:rsidRPr="00AC6C38">
        <w:rPr>
          <w:rFonts w:ascii="Times New Roman" w:hAnsi="Times New Roman"/>
          <w:sz w:val="20"/>
          <w:szCs w:val="20"/>
        </w:rPr>
        <w:t xml:space="preserve"> UU Perdagangan)</w:t>
      </w:r>
      <w:r w:rsidRPr="00AC6C38">
        <w:rPr>
          <w:rFonts w:ascii="Times New Roman" w:hAnsi="Times New Roman"/>
          <w:sz w:val="20"/>
          <w:szCs w:val="20"/>
        </w:rPr>
        <w:t>. U</w:t>
      </w:r>
      <w:r w:rsidR="00922FEB" w:rsidRPr="00AC6C38">
        <w:rPr>
          <w:rFonts w:ascii="Times New Roman" w:hAnsi="Times New Roman"/>
          <w:sz w:val="20"/>
          <w:szCs w:val="20"/>
        </w:rPr>
        <w:t>U</w:t>
      </w:r>
      <w:r w:rsidRPr="00AC6C38">
        <w:rPr>
          <w:rFonts w:ascii="Times New Roman" w:hAnsi="Times New Roman"/>
          <w:sz w:val="20"/>
          <w:szCs w:val="20"/>
        </w:rPr>
        <w:t xml:space="preserve"> </w:t>
      </w:r>
      <w:r w:rsidR="00E63E12" w:rsidRPr="00AC6C38">
        <w:rPr>
          <w:rFonts w:ascii="Times New Roman" w:hAnsi="Times New Roman"/>
          <w:sz w:val="20"/>
          <w:szCs w:val="20"/>
        </w:rPr>
        <w:t>P</w:t>
      </w:r>
      <w:r w:rsidRPr="00AC6C38">
        <w:rPr>
          <w:rFonts w:ascii="Times New Roman" w:hAnsi="Times New Roman"/>
          <w:sz w:val="20"/>
          <w:szCs w:val="20"/>
        </w:rPr>
        <w:t>erdagangan ini merupakan manifestasi dari keinginan untuk memajukan sektor perdagangan yang dituangkan dalam kebijakan perdagangan dengan mengedepankan kepentingan nasional. Hal ini sang</w:t>
      </w:r>
      <w:r w:rsidR="001242F9" w:rsidRPr="00AC6C38">
        <w:rPr>
          <w:rFonts w:ascii="Times New Roman" w:hAnsi="Times New Roman"/>
          <w:sz w:val="20"/>
          <w:szCs w:val="20"/>
        </w:rPr>
        <w:t xml:space="preserve">at jelas dalam </w:t>
      </w:r>
      <w:r w:rsidR="007D6270" w:rsidRPr="00AC6C38">
        <w:rPr>
          <w:rFonts w:ascii="Times New Roman" w:hAnsi="Times New Roman"/>
          <w:sz w:val="20"/>
          <w:szCs w:val="20"/>
        </w:rPr>
        <w:t>“</w:t>
      </w:r>
      <w:r w:rsidR="001242F9" w:rsidRPr="00AC6C38">
        <w:rPr>
          <w:rFonts w:ascii="Times New Roman" w:hAnsi="Times New Roman"/>
          <w:sz w:val="20"/>
          <w:szCs w:val="20"/>
        </w:rPr>
        <w:t>Pasal 2 huruf a</w:t>
      </w:r>
      <w:r w:rsidRPr="00AC6C38">
        <w:rPr>
          <w:rFonts w:ascii="Times New Roman" w:hAnsi="Times New Roman"/>
          <w:sz w:val="20"/>
          <w:szCs w:val="20"/>
        </w:rPr>
        <w:t xml:space="preserve"> </w:t>
      </w:r>
      <w:r w:rsidR="00922FEB" w:rsidRPr="00AC6C38">
        <w:rPr>
          <w:rFonts w:ascii="Times New Roman" w:hAnsi="Times New Roman"/>
          <w:sz w:val="20"/>
          <w:szCs w:val="20"/>
        </w:rPr>
        <w:t>UU Perdagangan</w:t>
      </w:r>
      <w:r w:rsidRPr="00AC6C38">
        <w:rPr>
          <w:rFonts w:ascii="Times New Roman" w:hAnsi="Times New Roman"/>
          <w:sz w:val="20"/>
          <w:szCs w:val="20"/>
        </w:rPr>
        <w:t xml:space="preserve"> yang menyatakan bahw</w:t>
      </w:r>
      <w:r w:rsidR="004E096B" w:rsidRPr="00AC6C38">
        <w:rPr>
          <w:rFonts w:ascii="Times New Roman" w:hAnsi="Times New Roman"/>
          <w:sz w:val="20"/>
          <w:szCs w:val="20"/>
        </w:rPr>
        <w:t>a:</w:t>
      </w:r>
      <w:r w:rsidRPr="00AC6C38">
        <w:rPr>
          <w:rFonts w:ascii="Times New Roman" w:hAnsi="Times New Roman"/>
          <w:sz w:val="20"/>
          <w:szCs w:val="20"/>
        </w:rPr>
        <w:t xml:space="preserve"> </w:t>
      </w:r>
    </w:p>
    <w:p w14:paraId="6397BAD8" w14:textId="712A6425" w:rsidR="004E096B" w:rsidRPr="00AC6C38" w:rsidRDefault="004F1ECF" w:rsidP="00E50CE0">
      <w:pPr>
        <w:pStyle w:val="ListParagraph"/>
        <w:spacing w:after="0" w:line="276" w:lineRule="auto"/>
        <w:ind w:left="993"/>
        <w:jc w:val="both"/>
        <w:rPr>
          <w:rFonts w:ascii="Times New Roman" w:hAnsi="Times New Roman"/>
          <w:sz w:val="20"/>
          <w:szCs w:val="20"/>
        </w:rPr>
      </w:pPr>
      <w:r w:rsidRPr="00AC6C38">
        <w:rPr>
          <w:rFonts w:ascii="Times New Roman" w:hAnsi="Times New Roman"/>
          <w:sz w:val="20"/>
          <w:szCs w:val="20"/>
        </w:rPr>
        <w:t xml:space="preserve">Kebijakan perdagangan disusun berdasarkan asas kepentingan nasional”. </w:t>
      </w:r>
    </w:p>
    <w:p w14:paraId="4EE7DC71" w14:textId="54B9C4B7" w:rsidR="004F1ECF" w:rsidRPr="00AC6C38" w:rsidRDefault="00500D94" w:rsidP="00E50CE0">
      <w:pPr>
        <w:pStyle w:val="ListParagraph"/>
        <w:spacing w:after="0" w:line="276" w:lineRule="auto"/>
        <w:ind w:left="426" w:firstLine="567"/>
        <w:jc w:val="both"/>
        <w:rPr>
          <w:rFonts w:ascii="Times New Roman" w:hAnsi="Times New Roman"/>
          <w:sz w:val="20"/>
          <w:szCs w:val="20"/>
        </w:rPr>
      </w:pPr>
      <w:r w:rsidRPr="00AC6C38">
        <w:rPr>
          <w:rFonts w:ascii="Times New Roman" w:hAnsi="Times New Roman"/>
          <w:sz w:val="20"/>
          <w:szCs w:val="20"/>
          <w:lang w:val="en-US"/>
        </w:rPr>
        <w:t>“</w:t>
      </w:r>
      <w:r w:rsidR="004F1ECF" w:rsidRPr="00AC6C38">
        <w:rPr>
          <w:rFonts w:ascii="Times New Roman" w:hAnsi="Times New Roman"/>
          <w:sz w:val="20"/>
          <w:szCs w:val="20"/>
        </w:rPr>
        <w:t>Kepentingan nasional tersebut antara lain meliputi</w:t>
      </w:r>
      <w:r w:rsidR="00794F2E" w:rsidRPr="00AC6C38">
        <w:rPr>
          <w:rFonts w:ascii="Times New Roman" w:hAnsi="Times New Roman"/>
          <w:sz w:val="20"/>
          <w:szCs w:val="20"/>
          <w:lang w:val="en-US"/>
        </w:rPr>
        <w:t xml:space="preserve"> </w:t>
      </w:r>
      <w:r w:rsidR="00777B0E" w:rsidRPr="00AC6C38">
        <w:rPr>
          <w:rFonts w:ascii="Times New Roman" w:hAnsi="Times New Roman"/>
          <w:sz w:val="20"/>
          <w:szCs w:val="20"/>
          <w:lang w:val="en-US"/>
        </w:rPr>
        <w:fldChar w:fldCharType="begin" w:fldLock="1"/>
      </w:r>
      <w:r w:rsidR="00777B0E" w:rsidRPr="00AC6C38">
        <w:rPr>
          <w:rFonts w:ascii="Times New Roman" w:hAnsi="Times New Roman"/>
          <w:sz w:val="20"/>
          <w:szCs w:val="20"/>
          <w:lang w:val="en-US"/>
        </w:rPr>
        <w:instrText>ADDIN CSL_CITATION {"citationItems":[{"id":"ITEM-1","itemData":{"DOI":"10.30996/dih.v11i21.442","ISSN":"0216-6534","abstract":"Abstrak:Â Kebutuhan masyarakat terhadap kendaraan bermotor semakin meningkat seiring dengan meningkatnya kebutuhan sarana transportasi. Kondisi ini dimanfaatkan oleh lembaga konsumen dengan cara membuat perjanjian baku dengan klausul yang ditentukan secara sepihak. Menurut Pasal 1338 ayat (3) KUHPdt, setiap orang diperbolehkan membuat perjanjian dengan siapapun dan tentang apapun sepanjang memenuhi syarat yang ditentukan dalam peraturan perundang-undangan, dan kepatutan dalam masyarakat. Penggunan asas kebebasan berkontrak ini akan dapat merugikan pihak konsumen, untuk melindungi konsumen, maka harus dilakukan dilakukan pembatasan-pembatasan. Salah satu pembatasannya adalah asas itikad baik, namun demikian asas itikad baik tersebut dalam hukum positif di Indonesia belum dirumuskan secara jelas dan pasti.Kata Kunci: kebebasan berkontrak, itikad baik, perlindungan hukum konsumen.Â ","author":[{"dropping-particle":"","family":"Winarni","given":"Luh Nila","non-dropping-particle":"","parse-names":false,"suffix":""}],"container-title":"DiH: Jurnal Ilmu Hukum","id":"ITEM-1","issue":"21","issued":{"date-parts":[["2015"]]},"page":"1-12","title":"Asas Itikad Baik Sebagai Upaya Perlindungan Konsumen Dalam Perjanjian Pembiayaan","type":"article-journal","volume":"11"},"uris":["http://www.mendeley.com/documents/?uuid=3c36dd67-2dc3-4f57-9428-4440a81d19fd"]}],"mendeley":{"formattedCitation":"(Winarni, 2015)","manualFormatting":"(Winarni, 2015:1-12)","plainTextFormattedCitation":"(Winarni, 2015)","previouslyFormattedCitation":"(Winarni, 2015)"},"properties":{"noteIndex":0},"schema":"https://github.com/citation-style-language/schema/raw/master/csl-citation.json"}</w:instrText>
      </w:r>
      <w:r w:rsidR="00777B0E" w:rsidRPr="00AC6C38">
        <w:rPr>
          <w:rFonts w:ascii="Times New Roman" w:hAnsi="Times New Roman"/>
          <w:sz w:val="20"/>
          <w:szCs w:val="20"/>
          <w:lang w:val="en-US"/>
        </w:rPr>
        <w:fldChar w:fldCharType="separate"/>
      </w:r>
      <w:r w:rsidR="00777B0E" w:rsidRPr="00AC6C38">
        <w:rPr>
          <w:rFonts w:ascii="Times New Roman" w:hAnsi="Times New Roman"/>
          <w:noProof/>
          <w:sz w:val="20"/>
          <w:szCs w:val="20"/>
          <w:lang w:val="en-US"/>
        </w:rPr>
        <w:t>(Winarni, 2015:1-12)</w:t>
      </w:r>
      <w:r w:rsidR="00777B0E" w:rsidRPr="00AC6C38">
        <w:rPr>
          <w:rFonts w:ascii="Times New Roman" w:hAnsi="Times New Roman"/>
          <w:sz w:val="20"/>
          <w:szCs w:val="20"/>
          <w:lang w:val="en-US"/>
        </w:rPr>
        <w:fldChar w:fldCharType="end"/>
      </w:r>
      <w:r w:rsidR="00922FEB" w:rsidRPr="00AC6C38">
        <w:rPr>
          <w:rFonts w:ascii="Times New Roman" w:hAnsi="Times New Roman"/>
          <w:sz w:val="20"/>
          <w:szCs w:val="20"/>
        </w:rPr>
        <w:t>,</w:t>
      </w:r>
      <w:r w:rsidR="004F1ECF" w:rsidRPr="00AC6C38">
        <w:rPr>
          <w:rFonts w:ascii="Times New Roman" w:hAnsi="Times New Roman"/>
          <w:sz w:val="20"/>
          <w:szCs w:val="20"/>
        </w:rPr>
        <w:t xml:space="preserve"> mendorong pertumbuhan ekonomi, mendorong daya saing perdagangan, melindungi produksi dalam negeri, memperluas pasar tenaga kerja, melindungi konsumen, menjamin kelancaran/ketersediaan barang dan jasa, penguatan UMKM dan lain sebagainya</w:t>
      </w:r>
      <w:r w:rsidRPr="00AC6C38">
        <w:rPr>
          <w:rFonts w:ascii="Times New Roman" w:hAnsi="Times New Roman"/>
          <w:sz w:val="20"/>
          <w:szCs w:val="20"/>
          <w:lang w:val="en-US"/>
        </w:rPr>
        <w:t>”</w:t>
      </w:r>
      <w:r w:rsidR="004F1ECF" w:rsidRPr="00AC6C38">
        <w:rPr>
          <w:rFonts w:ascii="Times New Roman" w:hAnsi="Times New Roman"/>
          <w:sz w:val="20"/>
          <w:szCs w:val="20"/>
        </w:rPr>
        <w:t>.</w:t>
      </w:r>
    </w:p>
    <w:p w14:paraId="24AFD172" w14:textId="07913369" w:rsidR="00157814" w:rsidRPr="00AC6C38" w:rsidRDefault="00157814" w:rsidP="00E50CE0">
      <w:pPr>
        <w:pStyle w:val="ListParagraph"/>
        <w:spacing w:after="0" w:line="276" w:lineRule="auto"/>
        <w:ind w:left="426" w:firstLine="567"/>
        <w:jc w:val="both"/>
        <w:rPr>
          <w:rFonts w:ascii="Times New Roman" w:hAnsi="Times New Roman"/>
          <w:sz w:val="20"/>
          <w:szCs w:val="20"/>
        </w:rPr>
      </w:pPr>
      <w:r w:rsidRPr="00AC6C38">
        <w:rPr>
          <w:rFonts w:ascii="Times New Roman" w:hAnsi="Times New Roman"/>
          <w:sz w:val="20"/>
          <w:szCs w:val="20"/>
        </w:rPr>
        <w:t>Di dalam ilmu hukum</w:t>
      </w:r>
      <w:r w:rsidR="00D77BDB" w:rsidRPr="00AC6C38">
        <w:rPr>
          <w:rFonts w:ascii="Times New Roman" w:hAnsi="Times New Roman"/>
          <w:sz w:val="20"/>
          <w:szCs w:val="20"/>
          <w:lang w:val="en-US"/>
        </w:rPr>
        <w:t xml:space="preserve"> </w:t>
      </w:r>
      <w:r w:rsidRPr="00AC6C38">
        <w:rPr>
          <w:rFonts w:ascii="Times New Roman" w:hAnsi="Times New Roman"/>
          <w:sz w:val="20"/>
          <w:szCs w:val="20"/>
        </w:rPr>
        <w:t xml:space="preserve"> </w:t>
      </w:r>
      <w:r w:rsidRPr="00AC6C38">
        <w:rPr>
          <w:rFonts w:ascii="Times New Roman" w:hAnsi="Times New Roman"/>
          <w:sz w:val="20"/>
          <w:szCs w:val="20"/>
          <w:lang w:val="en-US"/>
        </w:rPr>
        <w:t>dikenal adanya asas kekuatan mengikat dalam hukum perdata. Asas kekuatan mengikat adalah asas yang menyatakan bahwa perjanjian hanya mengikat bagi para pihak yang mengikatkan diri pada perjanjian tersebut dan sifatnya hanya mengikat ke dalam</w:t>
      </w:r>
      <w:r w:rsidRPr="00AC6C38">
        <w:rPr>
          <w:rFonts w:ascii="Times New Roman" w:hAnsi="Times New Roman"/>
          <w:sz w:val="20"/>
          <w:szCs w:val="20"/>
        </w:rPr>
        <w:t>.</w:t>
      </w:r>
      <w:r w:rsidR="00922FEB" w:rsidRPr="00AC6C38">
        <w:rPr>
          <w:rFonts w:ascii="Times New Roman" w:hAnsi="Times New Roman"/>
          <w:sz w:val="20"/>
          <w:szCs w:val="20"/>
        </w:rPr>
        <w:t xml:space="preserve"> </w:t>
      </w:r>
      <w:r w:rsidRPr="00AC6C38">
        <w:rPr>
          <w:rFonts w:ascii="Times New Roman" w:hAnsi="Times New Roman"/>
          <w:sz w:val="20"/>
          <w:szCs w:val="20"/>
        </w:rPr>
        <w:t xml:space="preserve">Dalam </w:t>
      </w:r>
      <w:r w:rsidR="00EF2586" w:rsidRPr="00AC6C38">
        <w:rPr>
          <w:rFonts w:ascii="Times New Roman" w:hAnsi="Times New Roman"/>
          <w:sz w:val="20"/>
          <w:szCs w:val="20"/>
        </w:rPr>
        <w:t>“</w:t>
      </w:r>
      <w:r w:rsidR="00EF2586" w:rsidRPr="00AC6C38">
        <w:rPr>
          <w:rFonts w:ascii="Times New Roman" w:hAnsi="Times New Roman"/>
          <w:sz w:val="20"/>
          <w:szCs w:val="20"/>
          <w:lang w:val="en-US"/>
        </w:rPr>
        <w:t>P</w:t>
      </w:r>
      <w:r w:rsidRPr="00AC6C38">
        <w:rPr>
          <w:rFonts w:ascii="Times New Roman" w:hAnsi="Times New Roman"/>
          <w:sz w:val="20"/>
          <w:szCs w:val="20"/>
          <w:lang w:val="en-US"/>
        </w:rPr>
        <w:t xml:space="preserve">asal 1340 KUHPer </w:t>
      </w:r>
      <w:r w:rsidR="00922FEB" w:rsidRPr="00AC6C38">
        <w:rPr>
          <w:rFonts w:ascii="Times New Roman" w:hAnsi="Times New Roman"/>
          <w:sz w:val="20"/>
          <w:szCs w:val="20"/>
        </w:rPr>
        <w:t>dijelaskan bahwa, p</w:t>
      </w:r>
      <w:r w:rsidRPr="00AC6C38">
        <w:rPr>
          <w:rFonts w:ascii="Times New Roman" w:hAnsi="Times New Roman"/>
          <w:sz w:val="20"/>
          <w:szCs w:val="20"/>
          <w:lang w:val="en-US"/>
        </w:rPr>
        <w:t>erjanjian hanya berlaku antara pihak yang membuatnya</w:t>
      </w:r>
      <w:r w:rsidR="00EF2586" w:rsidRPr="00AC6C38">
        <w:rPr>
          <w:rFonts w:ascii="Times New Roman" w:hAnsi="Times New Roman"/>
          <w:sz w:val="20"/>
          <w:szCs w:val="20"/>
        </w:rPr>
        <w:t>”</w:t>
      </w:r>
      <w:r w:rsidRPr="00AC6C38">
        <w:rPr>
          <w:rFonts w:ascii="Times New Roman" w:hAnsi="Times New Roman"/>
          <w:sz w:val="20"/>
          <w:szCs w:val="20"/>
          <w:lang w:val="en-US"/>
        </w:rPr>
        <w:t>. Hal ini mengandung maksud bahwa perjanjian yang dibuat oleh para</w:t>
      </w:r>
      <w:r w:rsidR="00EF2586" w:rsidRPr="00AC6C38">
        <w:rPr>
          <w:rFonts w:ascii="Times New Roman" w:hAnsi="Times New Roman"/>
          <w:sz w:val="20"/>
          <w:szCs w:val="20"/>
          <w:lang w:val="en-US"/>
        </w:rPr>
        <w:t xml:space="preserve"> </w:t>
      </w:r>
      <w:r w:rsidRPr="00AC6C38">
        <w:rPr>
          <w:rFonts w:ascii="Times New Roman" w:hAnsi="Times New Roman"/>
          <w:sz w:val="20"/>
          <w:szCs w:val="20"/>
          <w:lang w:val="en-US"/>
        </w:rPr>
        <w:t xml:space="preserve">pihak hanya berlaku bagi mereka yang membuatnya. Namun demikian, </w:t>
      </w:r>
      <w:r w:rsidR="00922FEB" w:rsidRPr="00AC6C38">
        <w:rPr>
          <w:rFonts w:ascii="Times New Roman" w:hAnsi="Times New Roman"/>
          <w:sz w:val="20"/>
          <w:szCs w:val="20"/>
        </w:rPr>
        <w:t>terdapat pengecualian pada ketentuan itu</w:t>
      </w:r>
      <w:r w:rsidRPr="00AC6C38">
        <w:rPr>
          <w:rFonts w:ascii="Times New Roman" w:hAnsi="Times New Roman"/>
          <w:sz w:val="20"/>
          <w:szCs w:val="20"/>
          <w:lang w:val="en-US"/>
        </w:rPr>
        <w:t xml:space="preserve"> bila diadakan untuk kepentingan pihak ketiga, perjanjian yang dibuat untuk diri</w:t>
      </w:r>
      <w:r w:rsidRPr="00AC6C38">
        <w:rPr>
          <w:rFonts w:ascii="Times New Roman" w:hAnsi="Times New Roman"/>
          <w:sz w:val="20"/>
          <w:szCs w:val="20"/>
        </w:rPr>
        <w:t xml:space="preserve"> </w:t>
      </w:r>
      <w:r w:rsidRPr="00AC6C38">
        <w:rPr>
          <w:rFonts w:ascii="Times New Roman" w:hAnsi="Times New Roman"/>
          <w:sz w:val="20"/>
          <w:szCs w:val="20"/>
          <w:lang w:val="en-US"/>
        </w:rPr>
        <w:t>sendiri, atau suatu pemberian kepada orang lain serta mengandung suatu syarat semacam itu</w:t>
      </w:r>
      <w:r w:rsidRPr="00AC6C38">
        <w:rPr>
          <w:rFonts w:ascii="Times New Roman" w:hAnsi="Times New Roman"/>
          <w:sz w:val="20"/>
          <w:szCs w:val="20"/>
        </w:rPr>
        <w:t>.</w:t>
      </w:r>
    </w:p>
    <w:p w14:paraId="66FF0B6B" w14:textId="25BC61D5" w:rsidR="00922FEB" w:rsidRPr="00AC6C38" w:rsidRDefault="00157814" w:rsidP="00E50CE0">
      <w:pPr>
        <w:pStyle w:val="ListParagraph"/>
        <w:spacing w:after="0" w:line="276" w:lineRule="auto"/>
        <w:ind w:left="426" w:firstLine="567"/>
        <w:jc w:val="both"/>
        <w:rPr>
          <w:rFonts w:ascii="Times New Roman" w:hAnsi="Times New Roman"/>
          <w:sz w:val="20"/>
          <w:szCs w:val="20"/>
          <w:lang w:val="en-US"/>
        </w:rPr>
      </w:pPr>
      <w:r w:rsidRPr="00AC6C38">
        <w:rPr>
          <w:rFonts w:ascii="Times New Roman" w:hAnsi="Times New Roman"/>
          <w:sz w:val="20"/>
          <w:szCs w:val="20"/>
        </w:rPr>
        <w:t xml:space="preserve">Jadi, </w:t>
      </w:r>
      <w:r w:rsidRPr="00AC6C38">
        <w:rPr>
          <w:rFonts w:ascii="Times New Roman" w:hAnsi="Times New Roman"/>
          <w:sz w:val="20"/>
          <w:szCs w:val="20"/>
          <w:lang w:val="en-US"/>
        </w:rPr>
        <w:t>seseorang dapat mengadakan perjanjian/kontrak untuk kepentingan pihak ketiga, dengan adanya suatu syarat yang ditentukan. Sedangkan di dalam Pasal 1318 KUHPer, tidak hanya mengatur perjanjian untuk diri sendiri, melainkan juga untuk kepentingan ahli warisnya dan untuk orang-orang yang memperoleh hak daripadanya</w:t>
      </w:r>
      <w:r w:rsidR="00922FEB" w:rsidRPr="00AC6C38">
        <w:rPr>
          <w:rFonts w:ascii="Times New Roman" w:hAnsi="Times New Roman"/>
          <w:sz w:val="20"/>
          <w:szCs w:val="20"/>
        </w:rPr>
        <w:t>, s</w:t>
      </w:r>
      <w:r w:rsidRPr="00AC6C38">
        <w:rPr>
          <w:rFonts w:ascii="Times New Roman" w:hAnsi="Times New Roman"/>
          <w:sz w:val="20"/>
          <w:szCs w:val="20"/>
        </w:rPr>
        <w:t xml:space="preserve">ehingga </w:t>
      </w:r>
      <w:r w:rsidR="00922FEB" w:rsidRPr="00AC6C38">
        <w:rPr>
          <w:rFonts w:ascii="Times New Roman" w:hAnsi="Times New Roman"/>
          <w:sz w:val="20"/>
          <w:szCs w:val="20"/>
        </w:rPr>
        <w:t>d</w:t>
      </w:r>
      <w:r w:rsidRPr="00AC6C38">
        <w:rPr>
          <w:rFonts w:ascii="Times New Roman" w:hAnsi="Times New Roman"/>
          <w:sz w:val="20"/>
          <w:szCs w:val="20"/>
          <w:lang w:val="en-US"/>
        </w:rPr>
        <w:t xml:space="preserve">apat dikatakan bahwa Hukum perjanjian merupakan instrumen hukum yang mengatur terjadinya pertukaran dan memberikan bentuk perlindungan bagi pihak yang dirugikan. Lebih lanjut </w:t>
      </w:r>
      <w:r w:rsidR="00777B0E" w:rsidRPr="00AC6C38">
        <w:rPr>
          <w:rFonts w:ascii="Times New Roman" w:hAnsi="Times New Roman"/>
          <w:sz w:val="20"/>
          <w:szCs w:val="20"/>
          <w:lang w:val="en-US"/>
        </w:rPr>
        <w:fldChar w:fldCharType="begin" w:fldLock="1"/>
      </w:r>
      <w:r w:rsidR="00777B0E" w:rsidRPr="00AC6C38">
        <w:rPr>
          <w:rFonts w:ascii="Times New Roman" w:hAnsi="Times New Roman"/>
          <w:sz w:val="20"/>
          <w:szCs w:val="20"/>
          <w:lang w:val="en-US"/>
        </w:rPr>
        <w:instrText>ADDIN CSL_CITATION {"citationItems":[{"id":"ITEM-1","itemData":{"DOI":"10.33541/tora.v4i1.1167","ISSN":"2442-8019","abstract":"Abstract Enforcement of a balcu agreement in the practice of daily economic life is a necessity that is non-negotiable and its validity is based on the principle of freedom of contract that exists in Article 1338 paragraph (1) of the Civil Code. In an effort to provide protection for consumers in the application of standard agreements, UU No. 18 of 1999 concerning Consumer Protection has set such standard agreement terms that can be enforced in practice with the threat of cancellation if the conditions are not met, including standard agreements in practice may not contain exoneration calls or clauses that divert and / or release responsibility replied the business man. In judicial practice, there are a number of jurisprudences who have canceled the exoneration clause which frees the liability of the business actor and transfers it to the consumer. This is intended as a form of granting legal protection to consumers in court decisions in relation to the application of standard agreements in society. Keyword : standard agreement; consumer protection; legal protection.","author":[{"dropping-particle":"","family":"Panjaitan","given":"Hulman","non-dropping-particle":"","parse-names":false,"suffix":""}],"container-title":"To-Ra","id":"ITEM-1","issue":"1","issued":{"date-parts":[["2018"]]},"page":"1","title":"Pemberlakuan Perjanjian Baku Dan Perlindungan Terhadap Konsumen","type":"article-journal","volume":"4"},"uris":["http://www.mendeley.com/documents/?uuid=c44efa45-9cd0-4936-a9d2-98dfbd9bab40"]}],"mendeley":{"formattedCitation":"(Panjaitan, 2018)","manualFormatting":"(Panjaitan, 2018:43)","plainTextFormattedCitation":"(Panjaitan, 2018)","previouslyFormattedCitation":"(Panjaitan, 2018)"},"properties":{"noteIndex":0},"schema":"https://github.com/citation-style-language/schema/raw/master/csl-citation.json"}</w:instrText>
      </w:r>
      <w:r w:rsidR="00777B0E" w:rsidRPr="00AC6C38">
        <w:rPr>
          <w:rFonts w:ascii="Times New Roman" w:hAnsi="Times New Roman"/>
          <w:sz w:val="20"/>
          <w:szCs w:val="20"/>
          <w:lang w:val="en-US"/>
        </w:rPr>
        <w:fldChar w:fldCharType="separate"/>
      </w:r>
      <w:r w:rsidR="00777B0E" w:rsidRPr="00AC6C38">
        <w:rPr>
          <w:rFonts w:ascii="Times New Roman" w:hAnsi="Times New Roman"/>
          <w:noProof/>
          <w:sz w:val="20"/>
          <w:szCs w:val="20"/>
          <w:lang w:val="en-US"/>
        </w:rPr>
        <w:t>(Panjaitan, 2018:43)</w:t>
      </w:r>
      <w:r w:rsidR="00777B0E" w:rsidRPr="00AC6C38">
        <w:rPr>
          <w:rFonts w:ascii="Times New Roman" w:hAnsi="Times New Roman"/>
          <w:sz w:val="20"/>
          <w:szCs w:val="20"/>
          <w:lang w:val="en-US"/>
        </w:rPr>
        <w:fldChar w:fldCharType="end"/>
      </w:r>
      <w:r w:rsidR="00777B0E" w:rsidRPr="00AC6C38">
        <w:rPr>
          <w:rFonts w:ascii="Times New Roman" w:hAnsi="Times New Roman"/>
          <w:sz w:val="20"/>
          <w:szCs w:val="20"/>
          <w:lang w:val="en-US"/>
        </w:rPr>
        <w:t xml:space="preserve"> </w:t>
      </w:r>
      <w:r w:rsidRPr="00AC6C38">
        <w:rPr>
          <w:rFonts w:ascii="Times New Roman" w:hAnsi="Times New Roman"/>
          <w:sz w:val="20"/>
          <w:szCs w:val="20"/>
          <w:lang w:val="en-US"/>
        </w:rPr>
        <w:t xml:space="preserve">mengungkapkan: </w:t>
      </w:r>
    </w:p>
    <w:p w14:paraId="6B61D97D" w14:textId="331D903A" w:rsidR="00157814" w:rsidRPr="00AC6C38" w:rsidRDefault="00157814" w:rsidP="00E50CE0">
      <w:pPr>
        <w:pStyle w:val="ListParagraph"/>
        <w:spacing w:after="0" w:line="276" w:lineRule="auto"/>
        <w:ind w:left="993"/>
        <w:jc w:val="both"/>
        <w:rPr>
          <w:rFonts w:ascii="Times New Roman" w:hAnsi="Times New Roman"/>
          <w:sz w:val="20"/>
          <w:szCs w:val="20"/>
          <w:lang w:val="en-US"/>
        </w:rPr>
      </w:pPr>
      <w:r w:rsidRPr="00AC6C38">
        <w:rPr>
          <w:rFonts w:ascii="Times New Roman" w:hAnsi="Times New Roman"/>
          <w:sz w:val="20"/>
          <w:szCs w:val="20"/>
          <w:lang w:val="en-US"/>
        </w:rPr>
        <w:t>“Kontrak merupakan bentuk pertukaran yang adil (</w:t>
      </w:r>
      <w:r w:rsidRPr="00AC6C38">
        <w:rPr>
          <w:rFonts w:ascii="Times New Roman" w:hAnsi="Times New Roman"/>
          <w:i/>
          <w:sz w:val="20"/>
          <w:szCs w:val="20"/>
          <w:lang w:val="en-US"/>
        </w:rPr>
        <w:t>fair exchange-who contributed what</w:t>
      </w:r>
      <w:r w:rsidRPr="00AC6C38">
        <w:rPr>
          <w:rFonts w:ascii="Times New Roman" w:hAnsi="Times New Roman"/>
          <w:sz w:val="20"/>
          <w:szCs w:val="20"/>
          <w:lang w:val="en-US"/>
        </w:rPr>
        <w:t>) terkaitdengan kewajiban kontraktualnya (</w:t>
      </w:r>
      <w:r w:rsidRPr="00AC6C38">
        <w:rPr>
          <w:rFonts w:ascii="Times New Roman" w:hAnsi="Times New Roman"/>
          <w:i/>
          <w:sz w:val="20"/>
          <w:szCs w:val="20"/>
          <w:lang w:val="en-US"/>
        </w:rPr>
        <w:t>exchange of obligation</w:t>
      </w:r>
      <w:r w:rsidRPr="00AC6C38">
        <w:rPr>
          <w:rFonts w:ascii="Times New Roman" w:hAnsi="Times New Roman"/>
          <w:sz w:val="20"/>
          <w:szCs w:val="20"/>
          <w:lang w:val="en-US"/>
        </w:rPr>
        <w:t>) yang didasarkanproporsi masing-masing. Kontrak merupakan bentuk pertukaran yang saling menguntungkan (</w:t>
      </w:r>
      <w:r w:rsidRPr="00AC6C38">
        <w:rPr>
          <w:rFonts w:ascii="Times New Roman" w:hAnsi="Times New Roman"/>
          <w:i/>
          <w:sz w:val="20"/>
          <w:szCs w:val="20"/>
          <w:lang w:val="en-US"/>
        </w:rPr>
        <w:t>exchange benefit for beneft</w:t>
      </w:r>
      <w:r w:rsidRPr="00AC6C38">
        <w:rPr>
          <w:rFonts w:ascii="Times New Roman" w:hAnsi="Times New Roman"/>
          <w:sz w:val="20"/>
          <w:szCs w:val="20"/>
          <w:lang w:val="en-US"/>
        </w:rPr>
        <w:t xml:space="preserve">). Kewajiban kontraktual tersebut tidak lain </w:t>
      </w:r>
      <w:r w:rsidRPr="00AC6C38">
        <w:rPr>
          <w:rFonts w:ascii="Times New Roman" w:hAnsi="Times New Roman"/>
          <w:sz w:val="20"/>
          <w:szCs w:val="20"/>
          <w:lang w:val="en-US"/>
        </w:rPr>
        <w:lastRenderedPageBreak/>
        <w:t>muncul karena adanya pertukaran janji diantara para pihak (</w:t>
      </w:r>
      <w:r w:rsidRPr="00AC6C38">
        <w:rPr>
          <w:rFonts w:ascii="Times New Roman" w:hAnsi="Times New Roman"/>
          <w:i/>
          <w:sz w:val="20"/>
          <w:szCs w:val="20"/>
          <w:lang w:val="en-US"/>
        </w:rPr>
        <w:t>exchange of promises</w:t>
      </w:r>
      <w:r w:rsidRPr="00AC6C38">
        <w:rPr>
          <w:rFonts w:ascii="Times New Roman" w:hAnsi="Times New Roman"/>
          <w:sz w:val="20"/>
          <w:szCs w:val="20"/>
          <w:lang w:val="en-US"/>
        </w:rPr>
        <w:t>)</w:t>
      </w:r>
      <w:r w:rsidRPr="00AC6C38">
        <w:rPr>
          <w:rFonts w:ascii="Times New Roman" w:hAnsi="Times New Roman"/>
          <w:sz w:val="20"/>
          <w:szCs w:val="20"/>
        </w:rPr>
        <w:t>.</w:t>
      </w:r>
      <w:r w:rsidR="00D753DA" w:rsidRPr="00AC6C38">
        <w:rPr>
          <w:rFonts w:ascii="Times New Roman" w:hAnsi="Times New Roman"/>
          <w:sz w:val="20"/>
          <w:szCs w:val="20"/>
        </w:rPr>
        <w:t>”</w:t>
      </w:r>
    </w:p>
    <w:p w14:paraId="1D7E9F57" w14:textId="2F0FDD76" w:rsidR="00157814" w:rsidRPr="00AC6C38" w:rsidRDefault="00765E57" w:rsidP="00E50CE0">
      <w:pPr>
        <w:pStyle w:val="ListParagraph"/>
        <w:spacing w:after="0" w:line="276" w:lineRule="auto"/>
        <w:ind w:left="426" w:firstLine="567"/>
        <w:jc w:val="both"/>
        <w:rPr>
          <w:rFonts w:ascii="Times New Roman" w:hAnsi="Times New Roman"/>
          <w:sz w:val="20"/>
          <w:szCs w:val="20"/>
        </w:rPr>
      </w:pPr>
      <w:r w:rsidRPr="00AC6C38">
        <w:rPr>
          <w:rFonts w:ascii="Times New Roman" w:hAnsi="Times New Roman"/>
          <w:sz w:val="20"/>
          <w:szCs w:val="20"/>
        </w:rPr>
        <w:t xml:space="preserve">Terdapat suatu </w:t>
      </w:r>
      <w:r w:rsidR="00C35A4A" w:rsidRPr="00AC6C38">
        <w:rPr>
          <w:rFonts w:ascii="Times New Roman" w:hAnsi="Times New Roman"/>
          <w:sz w:val="20"/>
          <w:szCs w:val="20"/>
        </w:rPr>
        <w:t xml:space="preserve">akibat yang timbul karena perbuatan oleh para pihak, akibat hukum ini merupakan suatu hasil dari tindakan yang telah dilakukan, sedangkan akibat hukum adalah adanya kejadian atau peristiwa yang timbul karena adanya sebab seperti perbuatan yang dilakukan oleh subjek hukum, baik dari perbuatan yang dilakukan sesuai dengan hukum maupun perbuatan yang dilakukan tidak sesuai dengan hukum </w:t>
      </w:r>
      <w:r w:rsidR="00157814" w:rsidRPr="00AC6C38">
        <w:rPr>
          <w:rFonts w:ascii="Times New Roman" w:hAnsi="Times New Roman"/>
          <w:sz w:val="20"/>
          <w:szCs w:val="20"/>
          <w:lang w:val="en-US"/>
        </w:rPr>
        <w:t>sesuai dengan hukum. Pasal 1266 K</w:t>
      </w:r>
      <w:r w:rsidR="00D753DA" w:rsidRPr="00AC6C38">
        <w:rPr>
          <w:rFonts w:ascii="Times New Roman" w:hAnsi="Times New Roman"/>
          <w:sz w:val="20"/>
          <w:szCs w:val="20"/>
        </w:rPr>
        <w:t>UH</w:t>
      </w:r>
      <w:r w:rsidR="00157814" w:rsidRPr="00AC6C38">
        <w:rPr>
          <w:rFonts w:ascii="Times New Roman" w:hAnsi="Times New Roman"/>
          <w:sz w:val="20"/>
          <w:szCs w:val="20"/>
          <w:lang w:val="en-US"/>
        </w:rPr>
        <w:t>Per memberikan akibat hukum terhadap debitur yang tidak aktif dalam perjanjian.</w:t>
      </w:r>
    </w:p>
    <w:p w14:paraId="1DB39E48" w14:textId="121D95CD" w:rsidR="004F1ECF" w:rsidRPr="00AC6C38" w:rsidRDefault="00D753DA" w:rsidP="00E50CE0">
      <w:pPr>
        <w:pStyle w:val="ListParagraph"/>
        <w:spacing w:after="0" w:line="276" w:lineRule="auto"/>
        <w:ind w:left="426" w:firstLine="567"/>
        <w:jc w:val="both"/>
        <w:rPr>
          <w:rFonts w:ascii="Times New Roman" w:hAnsi="Times New Roman"/>
          <w:sz w:val="20"/>
          <w:szCs w:val="20"/>
        </w:rPr>
      </w:pPr>
      <w:r w:rsidRPr="00AC6C38">
        <w:rPr>
          <w:rFonts w:ascii="Times New Roman" w:hAnsi="Times New Roman"/>
          <w:sz w:val="20"/>
          <w:szCs w:val="20"/>
        </w:rPr>
        <w:t xml:space="preserve">Pada UU Perdagangan </w:t>
      </w:r>
      <w:r w:rsidR="004F1ECF" w:rsidRPr="00AC6C38">
        <w:rPr>
          <w:rFonts w:ascii="Times New Roman" w:hAnsi="Times New Roman"/>
          <w:sz w:val="20"/>
          <w:szCs w:val="20"/>
        </w:rPr>
        <w:t xml:space="preserve">telah memberikan perlindungan terhadap konsumen dalam melakukan kegiatan perdagangan </w:t>
      </w:r>
      <w:r w:rsidR="00947893" w:rsidRPr="00AC6C38">
        <w:rPr>
          <w:rFonts w:ascii="Times New Roman" w:hAnsi="Times New Roman"/>
          <w:sz w:val="20"/>
          <w:szCs w:val="20"/>
        </w:rPr>
        <w:t xml:space="preserve">melalui media </w:t>
      </w:r>
      <w:r w:rsidR="004F1ECF" w:rsidRPr="00AC6C38">
        <w:rPr>
          <w:rFonts w:ascii="Times New Roman" w:hAnsi="Times New Roman"/>
          <w:sz w:val="20"/>
          <w:szCs w:val="20"/>
        </w:rPr>
        <w:t xml:space="preserve">elektronik atau </w:t>
      </w:r>
      <w:r w:rsidR="004F1ECF" w:rsidRPr="00AC6C38">
        <w:rPr>
          <w:rFonts w:ascii="Times New Roman" w:hAnsi="Times New Roman"/>
          <w:i/>
          <w:sz w:val="20"/>
          <w:szCs w:val="20"/>
        </w:rPr>
        <w:t>e-commerce</w:t>
      </w:r>
      <w:r w:rsidR="004F1ECF" w:rsidRPr="00AC6C38">
        <w:rPr>
          <w:rFonts w:ascii="Times New Roman" w:hAnsi="Times New Roman"/>
          <w:sz w:val="20"/>
          <w:szCs w:val="20"/>
        </w:rPr>
        <w:t>. Ketentuannya terdapat di dalam Pasal 65</w:t>
      </w:r>
      <w:r w:rsidRPr="00AC6C38">
        <w:rPr>
          <w:rFonts w:ascii="Times New Roman" w:hAnsi="Times New Roman"/>
          <w:sz w:val="20"/>
          <w:szCs w:val="20"/>
        </w:rPr>
        <w:t xml:space="preserve"> UU Perdagangan</w:t>
      </w:r>
      <w:r w:rsidR="004F1ECF" w:rsidRPr="00AC6C38">
        <w:rPr>
          <w:rFonts w:ascii="Times New Roman" w:hAnsi="Times New Roman"/>
          <w:sz w:val="20"/>
          <w:szCs w:val="20"/>
        </w:rPr>
        <w:t>, yaitu sebagai berikut:</w:t>
      </w:r>
    </w:p>
    <w:p w14:paraId="0ECBE330" w14:textId="61E00127" w:rsidR="004F1ECF" w:rsidRPr="00AC6C38" w:rsidRDefault="00500D94" w:rsidP="00E50CE0">
      <w:pPr>
        <w:pStyle w:val="ListParagraph"/>
        <w:numPr>
          <w:ilvl w:val="0"/>
          <w:numId w:val="32"/>
        </w:numPr>
        <w:tabs>
          <w:tab w:val="left" w:pos="993"/>
        </w:tabs>
        <w:spacing w:after="0" w:line="276" w:lineRule="auto"/>
        <w:ind w:left="993" w:hanging="426"/>
        <w:jc w:val="both"/>
        <w:rPr>
          <w:rFonts w:ascii="Times New Roman" w:hAnsi="Times New Roman"/>
          <w:sz w:val="20"/>
          <w:szCs w:val="20"/>
        </w:rPr>
      </w:pPr>
      <w:r w:rsidRPr="00AC6C38">
        <w:rPr>
          <w:rFonts w:ascii="Times New Roman" w:hAnsi="Times New Roman"/>
          <w:sz w:val="20"/>
          <w:szCs w:val="20"/>
          <w:lang w:val="en-US"/>
        </w:rPr>
        <w:t>“</w:t>
      </w:r>
      <w:r w:rsidR="004F1ECF" w:rsidRPr="00AC6C38">
        <w:rPr>
          <w:rFonts w:ascii="Times New Roman" w:hAnsi="Times New Roman"/>
          <w:sz w:val="20"/>
          <w:szCs w:val="20"/>
        </w:rPr>
        <w:t>Setiap pelaku usaha yang memperdagangkan barang dan/atau jasa dengan menggunakan sistem elektronik wajib menyediakan data dan/atau informasi secara lengkap dan benar</w:t>
      </w:r>
      <w:r w:rsidRPr="00AC6C38">
        <w:rPr>
          <w:rFonts w:ascii="Times New Roman" w:hAnsi="Times New Roman"/>
          <w:sz w:val="20"/>
          <w:szCs w:val="20"/>
          <w:lang w:val="en-US"/>
        </w:rPr>
        <w:t>”</w:t>
      </w:r>
      <w:r w:rsidR="004F1ECF" w:rsidRPr="00AC6C38">
        <w:rPr>
          <w:rFonts w:ascii="Times New Roman" w:hAnsi="Times New Roman"/>
          <w:sz w:val="20"/>
          <w:szCs w:val="20"/>
        </w:rPr>
        <w:t>;</w:t>
      </w:r>
    </w:p>
    <w:p w14:paraId="42812B32" w14:textId="44CE88C0" w:rsidR="004F1ECF" w:rsidRPr="00AC6C38" w:rsidRDefault="004F1ECF" w:rsidP="00E50CE0">
      <w:pPr>
        <w:pStyle w:val="ListParagraph"/>
        <w:spacing w:after="0" w:line="276" w:lineRule="auto"/>
        <w:ind w:left="426" w:firstLine="567"/>
        <w:jc w:val="both"/>
        <w:rPr>
          <w:rFonts w:ascii="Times New Roman" w:hAnsi="Times New Roman"/>
          <w:sz w:val="20"/>
          <w:szCs w:val="20"/>
        </w:rPr>
      </w:pPr>
      <w:r w:rsidRPr="00AC6C38">
        <w:rPr>
          <w:rFonts w:ascii="Times New Roman" w:hAnsi="Times New Roman"/>
          <w:sz w:val="20"/>
          <w:szCs w:val="20"/>
        </w:rPr>
        <w:t xml:space="preserve">Undang-Undang Nomor 11 Tahun 2008 tentang Informasi dan Transaksi Elektronik </w:t>
      </w:r>
      <w:r w:rsidR="00947893" w:rsidRPr="00AC6C38">
        <w:rPr>
          <w:rFonts w:ascii="Times New Roman" w:hAnsi="Times New Roman"/>
          <w:sz w:val="20"/>
          <w:szCs w:val="20"/>
        </w:rPr>
        <w:t>(</w:t>
      </w:r>
      <w:r w:rsidR="00157814" w:rsidRPr="00AC6C38">
        <w:rPr>
          <w:rFonts w:ascii="Times New Roman" w:hAnsi="Times New Roman"/>
          <w:sz w:val="20"/>
          <w:szCs w:val="20"/>
        </w:rPr>
        <w:t>selanjutnya disebut</w:t>
      </w:r>
      <w:r w:rsidR="00947893" w:rsidRPr="00AC6C38">
        <w:rPr>
          <w:rFonts w:ascii="Times New Roman" w:hAnsi="Times New Roman"/>
          <w:sz w:val="20"/>
          <w:szCs w:val="20"/>
        </w:rPr>
        <w:t xml:space="preserve"> </w:t>
      </w:r>
      <w:r w:rsidR="004E096B" w:rsidRPr="00AC6C38">
        <w:rPr>
          <w:rFonts w:ascii="Times New Roman" w:hAnsi="Times New Roman"/>
          <w:sz w:val="20"/>
          <w:szCs w:val="20"/>
        </w:rPr>
        <w:t xml:space="preserve">UU ITE) </w:t>
      </w:r>
      <w:r w:rsidRPr="00AC6C38">
        <w:rPr>
          <w:rFonts w:ascii="Times New Roman" w:hAnsi="Times New Roman"/>
          <w:sz w:val="20"/>
          <w:szCs w:val="20"/>
        </w:rPr>
        <w:t>merupakan dasar hukum utama bagi transaksi perdagangan yang menggunakan media elektronik. Arti penting UU ITE dalam memberikan perlindungan terhadap konsumen dalam melakukan kegiatan perdagangan media elektronik adalah:</w:t>
      </w:r>
    </w:p>
    <w:p w14:paraId="706307DC" w14:textId="7D3C794A" w:rsidR="004F1ECF" w:rsidRPr="00AC6C38" w:rsidRDefault="00500D94" w:rsidP="00E50CE0">
      <w:pPr>
        <w:pStyle w:val="ListParagraph"/>
        <w:numPr>
          <w:ilvl w:val="0"/>
          <w:numId w:val="34"/>
        </w:numPr>
        <w:tabs>
          <w:tab w:val="left" w:pos="993"/>
        </w:tabs>
        <w:spacing w:after="0" w:line="276" w:lineRule="auto"/>
        <w:ind w:left="993" w:hanging="426"/>
        <w:jc w:val="both"/>
        <w:rPr>
          <w:rFonts w:ascii="Times New Roman" w:hAnsi="Times New Roman"/>
          <w:sz w:val="20"/>
          <w:szCs w:val="20"/>
        </w:rPr>
      </w:pPr>
      <w:r w:rsidRPr="00AC6C38">
        <w:rPr>
          <w:rFonts w:ascii="Times New Roman" w:hAnsi="Times New Roman"/>
          <w:sz w:val="20"/>
          <w:szCs w:val="20"/>
          <w:lang w:val="en-US"/>
        </w:rPr>
        <w:t>“</w:t>
      </w:r>
      <w:r w:rsidR="004F1ECF" w:rsidRPr="00AC6C38">
        <w:rPr>
          <w:rFonts w:ascii="Times New Roman" w:hAnsi="Times New Roman"/>
          <w:sz w:val="20"/>
          <w:szCs w:val="20"/>
        </w:rPr>
        <w:t>Pengakuan transaksi, informasi, dokumen dan tanda tangan elektronik dalam kerangka hukum perikatan dan hukum pembuktian, sehingga kepastian hukum transaksi elektronik dapat terjamin;</w:t>
      </w:r>
    </w:p>
    <w:p w14:paraId="223175F0" w14:textId="77777777" w:rsidR="004F1ECF" w:rsidRPr="00AC6C38" w:rsidRDefault="004F1ECF" w:rsidP="00E50CE0">
      <w:pPr>
        <w:pStyle w:val="ListParagraph"/>
        <w:numPr>
          <w:ilvl w:val="0"/>
          <w:numId w:val="34"/>
        </w:numPr>
        <w:tabs>
          <w:tab w:val="left" w:pos="993"/>
        </w:tabs>
        <w:spacing w:after="0" w:line="276" w:lineRule="auto"/>
        <w:ind w:left="993" w:hanging="426"/>
        <w:jc w:val="both"/>
        <w:rPr>
          <w:rFonts w:ascii="Times New Roman" w:hAnsi="Times New Roman"/>
          <w:sz w:val="20"/>
          <w:szCs w:val="20"/>
        </w:rPr>
      </w:pPr>
      <w:r w:rsidRPr="00AC6C38">
        <w:rPr>
          <w:rFonts w:ascii="Times New Roman" w:hAnsi="Times New Roman"/>
          <w:sz w:val="20"/>
          <w:szCs w:val="20"/>
        </w:rPr>
        <w:t>Diklasifikasikannya tindakan-tindakan yang termasuk dalam kualifikasi pelanggaran hukum terkait penyalahgunaan Teknologi Informasi disertai dengan sanksi pidananya;</w:t>
      </w:r>
    </w:p>
    <w:p w14:paraId="5E864B22" w14:textId="2EC57411" w:rsidR="004F1ECF" w:rsidRPr="00AC6C38" w:rsidRDefault="004F1ECF" w:rsidP="00E50CE0">
      <w:pPr>
        <w:pStyle w:val="ListParagraph"/>
        <w:numPr>
          <w:ilvl w:val="0"/>
          <w:numId w:val="34"/>
        </w:numPr>
        <w:tabs>
          <w:tab w:val="left" w:pos="993"/>
        </w:tabs>
        <w:spacing w:after="0" w:line="276" w:lineRule="auto"/>
        <w:ind w:left="993" w:hanging="426"/>
        <w:jc w:val="both"/>
        <w:rPr>
          <w:rFonts w:ascii="Times New Roman" w:hAnsi="Times New Roman"/>
          <w:sz w:val="20"/>
          <w:szCs w:val="20"/>
        </w:rPr>
      </w:pPr>
      <w:r w:rsidRPr="00AC6C38">
        <w:rPr>
          <w:rFonts w:ascii="Times New Roman" w:hAnsi="Times New Roman"/>
          <w:sz w:val="20"/>
          <w:szCs w:val="20"/>
        </w:rPr>
        <w:t>UU ITE berlaku bagi setiap orang yang melakukan perbuatan hukum, baik yang berada di wilayah Indonesia maupun diluar wilayah Indonesia. Sehingga jangkauan UU ITE ini tidak hanya bersifat lokal saja tetapi juga internasional</w:t>
      </w:r>
      <w:r w:rsidR="00500D94" w:rsidRPr="00AC6C38">
        <w:rPr>
          <w:rFonts w:ascii="Times New Roman" w:hAnsi="Times New Roman"/>
          <w:sz w:val="20"/>
          <w:szCs w:val="20"/>
          <w:lang w:val="en-US"/>
        </w:rPr>
        <w:t>”</w:t>
      </w:r>
      <w:r w:rsidRPr="00AC6C38">
        <w:rPr>
          <w:rFonts w:ascii="Times New Roman" w:hAnsi="Times New Roman"/>
          <w:sz w:val="20"/>
          <w:szCs w:val="20"/>
        </w:rPr>
        <w:t>.</w:t>
      </w:r>
    </w:p>
    <w:p w14:paraId="6CC5116D" w14:textId="06FD09FB" w:rsidR="004F1ECF" w:rsidRPr="00AC6C38" w:rsidRDefault="001B0183" w:rsidP="00E50CE0">
      <w:pPr>
        <w:pStyle w:val="ListParagraph"/>
        <w:spacing w:after="0" w:line="276" w:lineRule="auto"/>
        <w:ind w:left="426"/>
        <w:jc w:val="both"/>
        <w:rPr>
          <w:rFonts w:ascii="Times New Roman" w:hAnsi="Times New Roman"/>
          <w:sz w:val="20"/>
          <w:szCs w:val="20"/>
        </w:rPr>
      </w:pPr>
      <w:r w:rsidRPr="00AC6C38">
        <w:rPr>
          <w:rFonts w:ascii="Times New Roman" w:hAnsi="Times New Roman"/>
          <w:sz w:val="20"/>
          <w:szCs w:val="20"/>
        </w:rPr>
        <w:t>Keterkaitannya dengan hak yang ada pada konsumen sesuai dengan Pasal 4 huruf c UUPK menyebutkan bahwa “</w:t>
      </w:r>
      <w:r w:rsidR="004F1ECF" w:rsidRPr="00AC6C38">
        <w:rPr>
          <w:rFonts w:ascii="Times New Roman" w:hAnsi="Times New Roman"/>
          <w:sz w:val="20"/>
          <w:szCs w:val="20"/>
        </w:rPr>
        <w:t>konsumen berhak mendapatkan informasi yang benar dan jelas mengenai produk yang di jual oleh pelaku usaha</w:t>
      </w:r>
      <w:r w:rsidR="009B425D" w:rsidRPr="00AC6C38">
        <w:rPr>
          <w:rFonts w:ascii="Times New Roman" w:hAnsi="Times New Roman"/>
          <w:sz w:val="20"/>
          <w:szCs w:val="20"/>
        </w:rPr>
        <w:t>”</w:t>
      </w:r>
      <w:r w:rsidR="004F1ECF" w:rsidRPr="00AC6C38">
        <w:rPr>
          <w:rFonts w:ascii="Times New Roman" w:hAnsi="Times New Roman"/>
          <w:sz w:val="20"/>
          <w:szCs w:val="20"/>
        </w:rPr>
        <w:t xml:space="preserve">, maka dalam UU ITE diatur mengenai hal tersebut yang terdapat dalam </w:t>
      </w:r>
      <w:r w:rsidR="0015794A" w:rsidRPr="00AC6C38">
        <w:rPr>
          <w:rFonts w:ascii="Times New Roman" w:hAnsi="Times New Roman"/>
          <w:sz w:val="20"/>
          <w:szCs w:val="20"/>
        </w:rPr>
        <w:t>“</w:t>
      </w:r>
      <w:r w:rsidR="009B425D" w:rsidRPr="00AC6C38">
        <w:rPr>
          <w:rFonts w:ascii="Times New Roman" w:hAnsi="Times New Roman"/>
          <w:sz w:val="20"/>
          <w:szCs w:val="20"/>
        </w:rPr>
        <w:t xml:space="preserve">Pasal 9 UU ITE yaitu </w:t>
      </w:r>
      <w:r w:rsidR="004F1ECF" w:rsidRPr="00AC6C38">
        <w:rPr>
          <w:rFonts w:ascii="Times New Roman" w:hAnsi="Times New Roman"/>
          <w:sz w:val="20"/>
          <w:szCs w:val="20"/>
        </w:rPr>
        <w:t xml:space="preserve">Pelaku usaha yang menawarkan produk melalui sistem elektronik harus menyediakan </w:t>
      </w:r>
      <w:r w:rsidR="004F1ECF" w:rsidRPr="00AC6C38">
        <w:rPr>
          <w:rFonts w:ascii="Times New Roman" w:hAnsi="Times New Roman"/>
          <w:sz w:val="20"/>
          <w:szCs w:val="20"/>
        </w:rPr>
        <w:lastRenderedPageBreak/>
        <w:t>informasi yang lengkap dan benar berkaitan dengan syarat kontrak, produsen, dan produk yang ditawarkan”.</w:t>
      </w:r>
    </w:p>
    <w:p w14:paraId="6190B177" w14:textId="3DE35587" w:rsidR="004F1ECF" w:rsidRPr="00AC6C38" w:rsidRDefault="009B425D" w:rsidP="00E50CE0">
      <w:pPr>
        <w:pStyle w:val="ListParagraph"/>
        <w:spacing w:after="0" w:line="276" w:lineRule="auto"/>
        <w:ind w:left="426" w:firstLine="567"/>
        <w:jc w:val="both"/>
        <w:rPr>
          <w:rFonts w:ascii="Times New Roman" w:hAnsi="Times New Roman"/>
          <w:sz w:val="20"/>
          <w:szCs w:val="20"/>
        </w:rPr>
      </w:pPr>
      <w:r w:rsidRPr="00AC6C38">
        <w:rPr>
          <w:rFonts w:ascii="Times New Roman" w:hAnsi="Times New Roman"/>
          <w:sz w:val="20"/>
          <w:szCs w:val="20"/>
        </w:rPr>
        <w:t>Penjabaran ketentuan yang ada pada Pasal 9 UU ITE juga memberikan suatu hak kepada konsumen untuk tetap berhak mendapat informasi dengan benar dan lengkap mengenai barang atau jasa yang ditawarkan menggunakan media elektronik oleh para pelaku usaha, dan hal ini juga mendapat pengaturan lebih lanjut pada</w:t>
      </w:r>
      <w:r w:rsidR="00797B83" w:rsidRPr="00AC6C38">
        <w:rPr>
          <w:rFonts w:ascii="Times New Roman" w:hAnsi="Times New Roman"/>
          <w:sz w:val="20"/>
          <w:szCs w:val="20"/>
        </w:rPr>
        <w:t xml:space="preserve"> “Pasal 28 ayat (1) UU ITE yaitu </w:t>
      </w:r>
      <w:r w:rsidR="004F1ECF" w:rsidRPr="00AC6C38">
        <w:rPr>
          <w:rFonts w:ascii="Times New Roman" w:hAnsi="Times New Roman"/>
          <w:sz w:val="20"/>
          <w:szCs w:val="20"/>
        </w:rPr>
        <w:t>Setiap orang dengan sengaja dan tanpa hak menyebarkan berita bohong dan menyesatkan yang mengakibatkan kerugian konsumen dalam transaksi elektronik”.</w:t>
      </w:r>
    </w:p>
    <w:p w14:paraId="06F4FE19" w14:textId="13D337E5" w:rsidR="004E096B" w:rsidRPr="00AC6C38" w:rsidRDefault="004F1ECF" w:rsidP="00E50CE0">
      <w:pPr>
        <w:pStyle w:val="ListParagraph"/>
        <w:spacing w:after="0" w:line="276" w:lineRule="auto"/>
        <w:ind w:left="426" w:firstLine="567"/>
        <w:jc w:val="both"/>
        <w:rPr>
          <w:rFonts w:ascii="Times New Roman" w:hAnsi="Times New Roman"/>
          <w:sz w:val="20"/>
          <w:szCs w:val="20"/>
        </w:rPr>
      </w:pPr>
      <w:r w:rsidRPr="00AC6C38">
        <w:rPr>
          <w:rFonts w:ascii="Times New Roman" w:hAnsi="Times New Roman"/>
          <w:sz w:val="20"/>
          <w:szCs w:val="20"/>
        </w:rPr>
        <w:t xml:space="preserve">Dalam hal sanksi pidana yang diterapkan atas pelanggaran yang dilakukan dalam Pasal 28 ayat (1) </w:t>
      </w:r>
      <w:r w:rsidR="009B7355" w:rsidRPr="00AC6C38">
        <w:rPr>
          <w:rFonts w:ascii="Times New Roman" w:hAnsi="Times New Roman"/>
          <w:sz w:val="20"/>
          <w:szCs w:val="20"/>
        </w:rPr>
        <w:t xml:space="preserve">UU ITE, </w:t>
      </w:r>
      <w:r w:rsidRPr="00AC6C38">
        <w:rPr>
          <w:rFonts w:ascii="Times New Roman" w:hAnsi="Times New Roman"/>
          <w:sz w:val="20"/>
          <w:szCs w:val="20"/>
        </w:rPr>
        <w:t>ketentuannya terdapat dalam Pasal 45A ayat (1)</w:t>
      </w:r>
      <w:r w:rsidR="009B7355" w:rsidRPr="00AC6C38">
        <w:rPr>
          <w:rFonts w:ascii="Times New Roman" w:hAnsi="Times New Roman"/>
          <w:sz w:val="20"/>
          <w:szCs w:val="20"/>
        </w:rPr>
        <w:t xml:space="preserve"> UU ITE</w:t>
      </w:r>
      <w:r w:rsidRPr="00AC6C38">
        <w:rPr>
          <w:rFonts w:ascii="Times New Roman" w:hAnsi="Times New Roman"/>
          <w:sz w:val="20"/>
          <w:szCs w:val="20"/>
        </w:rPr>
        <w:t xml:space="preserve"> yaitu: </w:t>
      </w:r>
    </w:p>
    <w:p w14:paraId="7FC4ACB7" w14:textId="77777777" w:rsidR="004F1ECF" w:rsidRPr="00AC6C38" w:rsidRDefault="004F1ECF" w:rsidP="00E50CE0">
      <w:pPr>
        <w:pStyle w:val="ListParagraph"/>
        <w:spacing w:after="0" w:line="276" w:lineRule="auto"/>
        <w:ind w:left="993"/>
        <w:jc w:val="both"/>
        <w:rPr>
          <w:rFonts w:ascii="Times New Roman" w:hAnsi="Times New Roman"/>
          <w:sz w:val="20"/>
          <w:szCs w:val="20"/>
        </w:rPr>
      </w:pPr>
      <w:r w:rsidRPr="00AC6C38">
        <w:rPr>
          <w:rFonts w:ascii="Times New Roman" w:hAnsi="Times New Roman"/>
          <w:sz w:val="20"/>
          <w:szCs w:val="20"/>
        </w:rPr>
        <w:t>“Setiap orang yang dengan sengaja dan tanpa hak menyebarkan berita bohong dan menyesatkan yang mengakibatkan kerugian konsumen dalam transaksi elektronik sebagaimana dimaksud dalam Pasal 28 ayat (1) dipidana dengan pidana penjara paling lama 6 (enam) tahun dan/atau denda paling banyak Rp.1.000.000.000,00 (satu miliar rupiah)”.</w:t>
      </w:r>
    </w:p>
    <w:p w14:paraId="3722EC0E" w14:textId="1C6BFCF9" w:rsidR="004F1ECF" w:rsidRPr="00AC6C38" w:rsidRDefault="00CD2170" w:rsidP="00E50CE0">
      <w:pPr>
        <w:pStyle w:val="ListParagraph"/>
        <w:spacing w:after="0" w:line="276" w:lineRule="auto"/>
        <w:ind w:left="426" w:firstLine="567"/>
        <w:jc w:val="both"/>
        <w:rPr>
          <w:rFonts w:ascii="Times New Roman" w:hAnsi="Times New Roman"/>
          <w:sz w:val="20"/>
          <w:szCs w:val="20"/>
        </w:rPr>
      </w:pPr>
      <w:r w:rsidRPr="00AC6C38">
        <w:rPr>
          <w:rFonts w:ascii="Times New Roman" w:hAnsi="Times New Roman"/>
          <w:sz w:val="20"/>
          <w:szCs w:val="20"/>
        </w:rPr>
        <w:t xml:space="preserve">Dalam hal melakukan antisipasi pada penjualan situs yang menjual barang atau jasa fiktif, saat ini UU ITE telah melakukan sebuah tindakan yang bersifat preventif dengan membuat suatu kelembagaan untuk menghadapi e-commerce palsu atau situs-situs lainnya yang dapat merugikan konsumen. </w:t>
      </w:r>
      <w:r w:rsidR="004F1ECF" w:rsidRPr="00AC6C38">
        <w:rPr>
          <w:rFonts w:ascii="Times New Roman" w:hAnsi="Times New Roman"/>
          <w:sz w:val="20"/>
          <w:szCs w:val="20"/>
        </w:rPr>
        <w:t xml:space="preserve">Salah satu upaya tersebut dapat dilihat dari ketentuan </w:t>
      </w:r>
      <w:r w:rsidRPr="00AC6C38">
        <w:rPr>
          <w:rFonts w:ascii="Times New Roman" w:hAnsi="Times New Roman"/>
          <w:sz w:val="20"/>
          <w:szCs w:val="20"/>
        </w:rPr>
        <w:t>“</w:t>
      </w:r>
      <w:r w:rsidR="004F1ECF" w:rsidRPr="00AC6C38">
        <w:rPr>
          <w:rFonts w:ascii="Times New Roman" w:hAnsi="Times New Roman"/>
          <w:sz w:val="20"/>
          <w:szCs w:val="20"/>
        </w:rPr>
        <w:t>Pasal 10 ayat (1) UU ITE yang menyatakan bahwa</w:t>
      </w:r>
      <w:r w:rsidR="009B7355" w:rsidRPr="00AC6C38">
        <w:rPr>
          <w:rFonts w:ascii="Times New Roman" w:hAnsi="Times New Roman"/>
          <w:sz w:val="20"/>
          <w:szCs w:val="20"/>
        </w:rPr>
        <w:t>, s</w:t>
      </w:r>
      <w:r w:rsidR="004F1ECF" w:rsidRPr="00AC6C38">
        <w:rPr>
          <w:rFonts w:ascii="Times New Roman" w:hAnsi="Times New Roman"/>
          <w:sz w:val="20"/>
          <w:szCs w:val="20"/>
        </w:rPr>
        <w:t>etiap pelaku usaha yang menyelenggarakan transaksi elektronik dapat disertifikasi oleh lembaga sertifikasi keandalan</w:t>
      </w:r>
      <w:r w:rsidRPr="00AC6C38">
        <w:rPr>
          <w:rFonts w:ascii="Times New Roman" w:hAnsi="Times New Roman"/>
          <w:sz w:val="20"/>
          <w:szCs w:val="20"/>
        </w:rPr>
        <w:t>”</w:t>
      </w:r>
      <w:r w:rsidR="004F1ECF" w:rsidRPr="00AC6C38">
        <w:rPr>
          <w:rFonts w:ascii="Times New Roman" w:hAnsi="Times New Roman"/>
          <w:sz w:val="20"/>
          <w:szCs w:val="20"/>
        </w:rPr>
        <w:t xml:space="preserve">. Lembaga ini akan menerbitkan sertifikasi kepada pelaku usaha sebagai bukti bahwa mereka yang melakukan perdagangan secara elektronik memang layak berusaha. Agar dapat memperoleh sertifikat keadalan, pengguna </w:t>
      </w:r>
      <w:r w:rsidR="004F1ECF" w:rsidRPr="00AC6C38">
        <w:rPr>
          <w:rFonts w:ascii="Times New Roman" w:hAnsi="Times New Roman"/>
          <w:i/>
          <w:iCs/>
          <w:sz w:val="20"/>
          <w:szCs w:val="20"/>
        </w:rPr>
        <w:t>(user)</w:t>
      </w:r>
      <w:r w:rsidR="004F1ECF" w:rsidRPr="00AC6C38">
        <w:rPr>
          <w:rFonts w:ascii="Times New Roman" w:hAnsi="Times New Roman"/>
          <w:sz w:val="20"/>
          <w:szCs w:val="20"/>
        </w:rPr>
        <w:t xml:space="preserve"> harus melewati tahap penilaian dan audit dari badan yang berwenang menerbitkan sertifikasi keandalan.</w:t>
      </w:r>
    </w:p>
    <w:p w14:paraId="51C6AD6D" w14:textId="16F69928" w:rsidR="004F1ECF" w:rsidRPr="00AC6C38" w:rsidRDefault="009B7355" w:rsidP="00E50CE0">
      <w:pPr>
        <w:pStyle w:val="ListParagraph"/>
        <w:spacing w:after="0" w:line="276" w:lineRule="auto"/>
        <w:ind w:left="426" w:firstLine="567"/>
        <w:jc w:val="both"/>
        <w:rPr>
          <w:rFonts w:ascii="Times New Roman" w:hAnsi="Times New Roman"/>
          <w:sz w:val="20"/>
          <w:szCs w:val="20"/>
        </w:rPr>
      </w:pPr>
      <w:r w:rsidRPr="00AC6C38">
        <w:rPr>
          <w:rFonts w:ascii="Times New Roman" w:hAnsi="Times New Roman"/>
          <w:sz w:val="20"/>
          <w:szCs w:val="20"/>
        </w:rPr>
        <w:t xml:space="preserve">Pada </w:t>
      </w:r>
      <w:r w:rsidR="004F1ECF" w:rsidRPr="00AC6C38">
        <w:rPr>
          <w:rFonts w:ascii="Times New Roman" w:hAnsi="Times New Roman"/>
          <w:sz w:val="20"/>
          <w:szCs w:val="20"/>
        </w:rPr>
        <w:t xml:space="preserve">ketentuan hukum yang mengatur </w:t>
      </w:r>
      <w:r w:rsidRPr="00AC6C38">
        <w:rPr>
          <w:rFonts w:ascii="Times New Roman" w:hAnsi="Times New Roman"/>
          <w:sz w:val="20"/>
          <w:szCs w:val="20"/>
        </w:rPr>
        <w:t xml:space="preserve">mengenai </w:t>
      </w:r>
      <w:r w:rsidR="004F1ECF" w:rsidRPr="00AC6C38">
        <w:rPr>
          <w:rFonts w:ascii="Times New Roman" w:hAnsi="Times New Roman"/>
          <w:sz w:val="20"/>
          <w:szCs w:val="20"/>
        </w:rPr>
        <w:t>jual beli melalui internet,</w:t>
      </w:r>
      <w:r w:rsidRPr="00AC6C38">
        <w:rPr>
          <w:rFonts w:ascii="Times New Roman" w:hAnsi="Times New Roman"/>
          <w:sz w:val="20"/>
          <w:szCs w:val="20"/>
        </w:rPr>
        <w:t xml:space="preserve"> </w:t>
      </w:r>
      <w:r w:rsidR="004F1ECF" w:rsidRPr="00AC6C38">
        <w:rPr>
          <w:rFonts w:ascii="Times New Roman" w:hAnsi="Times New Roman"/>
          <w:sz w:val="20"/>
          <w:szCs w:val="20"/>
        </w:rPr>
        <w:t xml:space="preserve"> tidak dapat </w:t>
      </w:r>
      <w:r w:rsidRPr="00AC6C38">
        <w:rPr>
          <w:rFonts w:ascii="Times New Roman" w:hAnsi="Times New Roman"/>
          <w:sz w:val="20"/>
          <w:szCs w:val="20"/>
        </w:rPr>
        <w:t>di</w:t>
      </w:r>
      <w:r w:rsidR="004F1ECF" w:rsidRPr="00AC6C38">
        <w:rPr>
          <w:rFonts w:ascii="Times New Roman" w:hAnsi="Times New Roman"/>
          <w:sz w:val="20"/>
          <w:szCs w:val="20"/>
        </w:rPr>
        <w:t>ingkari bahwa hal ini pun tunduk pada ketentuan tentang jual beli pada umumnya</w:t>
      </w:r>
      <w:r w:rsidR="00FC6499" w:rsidRPr="00AC6C38">
        <w:rPr>
          <w:rFonts w:ascii="Times New Roman" w:hAnsi="Times New Roman"/>
          <w:sz w:val="20"/>
          <w:szCs w:val="20"/>
        </w:rPr>
        <w:t>. K</w:t>
      </w:r>
      <w:r w:rsidR="004F1ECF" w:rsidRPr="00AC6C38">
        <w:rPr>
          <w:rFonts w:ascii="Times New Roman" w:hAnsi="Times New Roman"/>
          <w:sz w:val="20"/>
          <w:szCs w:val="20"/>
        </w:rPr>
        <w:t>arena yang membedakan antara keduanya hanyalah media yang digunakan</w:t>
      </w:r>
      <w:r w:rsidR="00FC6499" w:rsidRPr="00AC6C38">
        <w:rPr>
          <w:rFonts w:ascii="Times New Roman" w:hAnsi="Times New Roman"/>
          <w:sz w:val="20"/>
          <w:szCs w:val="20"/>
        </w:rPr>
        <w:t>,</w:t>
      </w:r>
      <w:r w:rsidR="004F1ECF" w:rsidRPr="00AC6C38">
        <w:rPr>
          <w:rFonts w:ascii="Times New Roman" w:hAnsi="Times New Roman"/>
          <w:sz w:val="20"/>
          <w:szCs w:val="20"/>
        </w:rPr>
        <w:t xml:space="preserve"> sehingga ada pula dampak-dampak hukum tertentu yang perlu dicar</w:t>
      </w:r>
      <w:r w:rsidR="00FC6499" w:rsidRPr="00AC6C38">
        <w:rPr>
          <w:rFonts w:ascii="Times New Roman" w:hAnsi="Times New Roman"/>
          <w:sz w:val="20"/>
          <w:szCs w:val="20"/>
        </w:rPr>
        <w:t>i</w:t>
      </w:r>
      <w:r w:rsidR="004F1ECF" w:rsidRPr="00AC6C38">
        <w:rPr>
          <w:rFonts w:ascii="Times New Roman" w:hAnsi="Times New Roman"/>
          <w:sz w:val="20"/>
          <w:szCs w:val="20"/>
        </w:rPr>
        <w:t xml:space="preserve"> ketentuan hukum yang mengatur tentang dampak-dampak tersebut. </w:t>
      </w:r>
      <w:r w:rsidR="004F1ECF" w:rsidRPr="00AC6C38">
        <w:rPr>
          <w:rFonts w:ascii="Times New Roman" w:hAnsi="Times New Roman"/>
          <w:sz w:val="20"/>
          <w:szCs w:val="20"/>
        </w:rPr>
        <w:lastRenderedPageBreak/>
        <w:t>Lahirnya kontrak elektronik juga pada saat tercapainya kesepakatan</w:t>
      </w:r>
      <w:r w:rsidR="00777B0E" w:rsidRPr="00AC6C38">
        <w:rPr>
          <w:rFonts w:ascii="Times New Roman" w:hAnsi="Times New Roman"/>
          <w:sz w:val="20"/>
          <w:szCs w:val="20"/>
          <w:lang w:val="en-US"/>
        </w:rPr>
        <w:t xml:space="preserve"> </w:t>
      </w:r>
      <w:r w:rsidR="00777B0E" w:rsidRPr="00AC6C38">
        <w:rPr>
          <w:rFonts w:ascii="Times New Roman" w:hAnsi="Times New Roman"/>
          <w:sz w:val="20"/>
          <w:szCs w:val="20"/>
          <w:lang w:val="en-US"/>
        </w:rPr>
        <w:fldChar w:fldCharType="begin" w:fldLock="1"/>
      </w:r>
      <w:r w:rsidR="00B96A5A" w:rsidRPr="00AC6C38">
        <w:rPr>
          <w:rFonts w:ascii="Times New Roman" w:hAnsi="Times New Roman"/>
          <w:sz w:val="20"/>
          <w:szCs w:val="20"/>
          <w:lang w:val="en-US"/>
        </w:rPr>
        <w:instrText>ADDIN CSL_CITATION {"citationItems":[{"id":"ITEM-1","itemData":{"DOI":"10.24843/jmhu.2019.v08.i01.p05","ISSN":"2302-528X","abstract":"Businessman are required to increase the efficiency of transaction time in serving consumers, therefore a practical agreement is made and the contents have been determined by one party so that the other party does not have the opportunity to negotiate and is in the position of \"take it or leave it\". The standard agreement does not reflect the principle of the balance of the parties to the contract. The method used in this study is normative juridical, which refers to legal norms contained in the legislation, court decisions, using data in the form of qualitative data and using a descriptive analytical approach. In the event of an imbalance during the formation or arrangement of an agreement, the contents of the agreement or implementation of the agreement, the principle of balance is present by offering a general responsibility for the application of a variety of norms as well as assessing and determining whether there is a fair agreement. To create a balance of rights and obligations of the parties in this case, an agreement needs to contain the principle of balance, fairness and fairness which is a guideline as well as a sign in regulating and forming agreements that will be made so that eventually it will become an agreement that applies to the parties.","author":[{"dropping-particle":"","family":"Prasnowo","given":"Aryo Dwi","non-dropping-particle":"","parse-names":false,"suffix":""},{"dropping-particle":"","family":"Badriyah","given":"Siti Malikhatun","non-dropping-particle":"","parse-names":false,"suffix":""}],"container-title":"Jurnal Magister Hukum Udayana (Udayana Master Law Journal)","id":"ITEM-1","issue":"1","issued":{"date-parts":[["2019"]]},"page":"61","title":"Implementasi Asas Keseimbangan Bagi Para Pihak dalam Perjanjian Baku","type":"article-journal","volume":"8"},"uris":["http://www.mendeley.com/documents/?uuid=c9bcdf99-fee3-4db5-b391-aaec61869abf"]}],"mendeley":{"formattedCitation":"(Prasnowo &amp; Badriyah, 2019)","manualFormatting":"(Prasnowo &amp; Badriyah, 2019:61)","plainTextFormattedCitation":"(Prasnowo &amp; Badriyah, 2019)","previouslyFormattedCitation":"(Prasnowo &amp; Badriyah, 2019)"},"properties":{"noteIndex":0},"schema":"https://github.com/citation-style-language/schema/raw/master/csl-citation.json"}</w:instrText>
      </w:r>
      <w:r w:rsidR="00777B0E" w:rsidRPr="00AC6C38">
        <w:rPr>
          <w:rFonts w:ascii="Times New Roman" w:hAnsi="Times New Roman"/>
          <w:sz w:val="20"/>
          <w:szCs w:val="20"/>
          <w:lang w:val="en-US"/>
        </w:rPr>
        <w:fldChar w:fldCharType="separate"/>
      </w:r>
      <w:r w:rsidR="00777B0E" w:rsidRPr="00AC6C38">
        <w:rPr>
          <w:rFonts w:ascii="Times New Roman" w:hAnsi="Times New Roman"/>
          <w:noProof/>
          <w:sz w:val="20"/>
          <w:szCs w:val="20"/>
          <w:lang w:val="en-US"/>
        </w:rPr>
        <w:t>(Prasnowo &amp; Badriyah, 2019:61)</w:t>
      </w:r>
      <w:r w:rsidR="00777B0E" w:rsidRPr="00AC6C38">
        <w:rPr>
          <w:rFonts w:ascii="Times New Roman" w:hAnsi="Times New Roman"/>
          <w:sz w:val="20"/>
          <w:szCs w:val="20"/>
          <w:lang w:val="en-US"/>
        </w:rPr>
        <w:fldChar w:fldCharType="end"/>
      </w:r>
      <w:r w:rsidR="004F1ECF" w:rsidRPr="00AC6C38">
        <w:rPr>
          <w:rFonts w:ascii="Times New Roman" w:hAnsi="Times New Roman"/>
          <w:sz w:val="20"/>
          <w:szCs w:val="20"/>
        </w:rPr>
        <w:t xml:space="preserve">, </w:t>
      </w:r>
      <w:r w:rsidR="00500D94" w:rsidRPr="00AC6C38">
        <w:rPr>
          <w:rFonts w:ascii="Times New Roman" w:hAnsi="Times New Roman"/>
          <w:sz w:val="20"/>
          <w:szCs w:val="20"/>
          <w:lang w:val="en-US"/>
        </w:rPr>
        <w:t>“</w:t>
      </w:r>
      <w:r w:rsidR="004F1ECF" w:rsidRPr="00AC6C38">
        <w:rPr>
          <w:rFonts w:ascii="Times New Roman" w:hAnsi="Times New Roman"/>
          <w:sz w:val="20"/>
          <w:szCs w:val="20"/>
        </w:rPr>
        <w:t>yakni diterimanya penawaran yang dilakukan oleh salah satu pihak</w:t>
      </w:r>
      <w:r w:rsidR="004E096B" w:rsidRPr="00AC6C38">
        <w:rPr>
          <w:rFonts w:ascii="Times New Roman" w:hAnsi="Times New Roman"/>
          <w:sz w:val="20"/>
          <w:szCs w:val="20"/>
        </w:rPr>
        <w:t>.</w:t>
      </w:r>
      <w:r w:rsidR="004F1ECF" w:rsidRPr="00AC6C38">
        <w:rPr>
          <w:rFonts w:ascii="Times New Roman" w:hAnsi="Times New Roman"/>
          <w:sz w:val="20"/>
          <w:szCs w:val="20"/>
        </w:rPr>
        <w:t xml:space="preserve"> Dapat dikatakan bahwa</w:t>
      </w:r>
      <w:r w:rsidR="004E096B" w:rsidRPr="00AC6C38">
        <w:rPr>
          <w:rFonts w:ascii="Times New Roman" w:hAnsi="Times New Roman"/>
          <w:sz w:val="20"/>
          <w:szCs w:val="20"/>
        </w:rPr>
        <w:t>,</w:t>
      </w:r>
      <w:r w:rsidR="004F1ECF" w:rsidRPr="00AC6C38">
        <w:rPr>
          <w:rFonts w:ascii="Times New Roman" w:hAnsi="Times New Roman"/>
          <w:sz w:val="20"/>
          <w:szCs w:val="20"/>
        </w:rPr>
        <w:t xml:space="preserve"> apabila kita berbicara mengenai transaksi jual beli elektronik tidak terlepas pada konsep jual beli yang secara umum diatur dalam Pasal 1457 s/d Pasal 1540 KUHPer</w:t>
      </w:r>
      <w:r w:rsidR="00500D94" w:rsidRPr="00AC6C38">
        <w:rPr>
          <w:rFonts w:ascii="Times New Roman" w:hAnsi="Times New Roman"/>
          <w:sz w:val="20"/>
          <w:szCs w:val="20"/>
          <w:lang w:val="en-US"/>
        </w:rPr>
        <w:t>”</w:t>
      </w:r>
      <w:r w:rsidR="004F1ECF" w:rsidRPr="00AC6C38">
        <w:rPr>
          <w:rFonts w:ascii="Times New Roman" w:hAnsi="Times New Roman"/>
          <w:sz w:val="20"/>
          <w:szCs w:val="20"/>
        </w:rPr>
        <w:t>.</w:t>
      </w:r>
    </w:p>
    <w:p w14:paraId="4DF80E5B" w14:textId="202CC50A" w:rsidR="004E096B" w:rsidRPr="00AC6C38" w:rsidRDefault="004F1ECF" w:rsidP="00E50CE0">
      <w:pPr>
        <w:pStyle w:val="ListParagraph"/>
        <w:spacing w:after="0" w:line="276" w:lineRule="auto"/>
        <w:ind w:left="426" w:firstLine="567"/>
        <w:jc w:val="both"/>
        <w:rPr>
          <w:rFonts w:ascii="Times New Roman" w:hAnsi="Times New Roman"/>
          <w:sz w:val="20"/>
          <w:szCs w:val="20"/>
        </w:rPr>
      </w:pPr>
      <w:r w:rsidRPr="00AC6C38">
        <w:rPr>
          <w:rFonts w:ascii="Times New Roman" w:hAnsi="Times New Roman"/>
          <w:sz w:val="20"/>
          <w:szCs w:val="20"/>
        </w:rPr>
        <w:t xml:space="preserve">Jika pengaturan mengenai jual beli media elektronik atau </w:t>
      </w:r>
      <w:r w:rsidRPr="00AC6C38">
        <w:rPr>
          <w:rFonts w:ascii="Times New Roman" w:hAnsi="Times New Roman"/>
          <w:i/>
          <w:sz w:val="20"/>
          <w:szCs w:val="20"/>
        </w:rPr>
        <w:t>e-commerce</w:t>
      </w:r>
      <w:r w:rsidRPr="00AC6C38">
        <w:rPr>
          <w:rFonts w:ascii="Times New Roman" w:hAnsi="Times New Roman"/>
          <w:sz w:val="20"/>
          <w:szCs w:val="20"/>
        </w:rPr>
        <w:t xml:space="preserve"> dilakukan dengan menerapkan KUHPer secara analogi, maka terhadap </w:t>
      </w:r>
      <w:r w:rsidRPr="00AC6C38">
        <w:rPr>
          <w:rFonts w:ascii="Times New Roman" w:hAnsi="Times New Roman"/>
          <w:i/>
          <w:iCs/>
          <w:sz w:val="20"/>
          <w:szCs w:val="20"/>
        </w:rPr>
        <w:t>e</w:t>
      </w:r>
      <w:r w:rsidR="004E096B" w:rsidRPr="00AC6C38">
        <w:rPr>
          <w:rFonts w:ascii="Times New Roman" w:hAnsi="Times New Roman"/>
          <w:i/>
          <w:iCs/>
          <w:sz w:val="20"/>
          <w:szCs w:val="20"/>
        </w:rPr>
        <w:t>-</w:t>
      </w:r>
      <w:r w:rsidRPr="00AC6C38">
        <w:rPr>
          <w:rFonts w:ascii="Times New Roman" w:hAnsi="Times New Roman"/>
          <w:i/>
          <w:iCs/>
          <w:sz w:val="20"/>
          <w:szCs w:val="20"/>
        </w:rPr>
        <w:t>commerce</w:t>
      </w:r>
      <w:r w:rsidRPr="00AC6C38">
        <w:rPr>
          <w:rFonts w:ascii="Times New Roman" w:hAnsi="Times New Roman"/>
          <w:sz w:val="20"/>
          <w:szCs w:val="20"/>
        </w:rPr>
        <w:t xml:space="preserve"> akan diterapkan ketentuan-ketentuan dari KUHPer. Dalam kaitan ini, secara garis besar dikemukakan beberapa ketentuan yang penting di dalam hukum perjanjian. Perjanjian jual beli media elektronik tidak lepas dari konsep perjanjian secara mendasar yang terdapat dalam Pasal 1313 KUHPer yaitu: </w:t>
      </w:r>
    </w:p>
    <w:p w14:paraId="404B9825" w14:textId="77777777" w:rsidR="004F1ECF" w:rsidRPr="00AC6C38" w:rsidRDefault="004F1ECF" w:rsidP="00E50CE0">
      <w:pPr>
        <w:pStyle w:val="ListParagraph"/>
        <w:spacing w:after="0" w:line="276" w:lineRule="auto"/>
        <w:ind w:left="993"/>
        <w:jc w:val="both"/>
        <w:rPr>
          <w:rFonts w:ascii="Times New Roman" w:hAnsi="Times New Roman"/>
          <w:sz w:val="20"/>
          <w:szCs w:val="20"/>
        </w:rPr>
      </w:pPr>
      <w:r w:rsidRPr="00AC6C38">
        <w:rPr>
          <w:rFonts w:ascii="Times New Roman" w:hAnsi="Times New Roman"/>
          <w:sz w:val="20"/>
          <w:szCs w:val="20"/>
        </w:rPr>
        <w:t>“Perjanjian adalah suatu perbuatan dengan mana satu orang atau lebih mengikatkan dirinya terhadap satu orang lain atau lebih”.</w:t>
      </w:r>
    </w:p>
    <w:p w14:paraId="2F188A2D" w14:textId="77777777" w:rsidR="004F1ECF" w:rsidRPr="00AC6C38" w:rsidRDefault="004F1ECF" w:rsidP="00E50CE0">
      <w:pPr>
        <w:pStyle w:val="ListParagraph"/>
        <w:spacing w:after="0" w:line="276" w:lineRule="auto"/>
        <w:ind w:left="426" w:firstLine="567"/>
        <w:jc w:val="both"/>
        <w:rPr>
          <w:rFonts w:ascii="Times New Roman" w:hAnsi="Times New Roman"/>
          <w:sz w:val="20"/>
          <w:szCs w:val="20"/>
        </w:rPr>
      </w:pPr>
      <w:r w:rsidRPr="00AC6C38">
        <w:rPr>
          <w:rFonts w:ascii="Times New Roman" w:hAnsi="Times New Roman"/>
          <w:sz w:val="20"/>
          <w:szCs w:val="20"/>
        </w:rPr>
        <w:t>Pada UUPK terdapat dua sanksi apabila pelaku usaha melanggar pasal-pasal yang berada dalam Undang-Undang, yaitu</w:t>
      </w:r>
      <w:r w:rsidR="004E096B" w:rsidRPr="00AC6C38">
        <w:rPr>
          <w:rFonts w:ascii="Times New Roman" w:hAnsi="Times New Roman"/>
          <w:sz w:val="20"/>
          <w:szCs w:val="20"/>
        </w:rPr>
        <w:t>:</w:t>
      </w:r>
    </w:p>
    <w:p w14:paraId="5B79A5CE" w14:textId="77777777" w:rsidR="004F1ECF" w:rsidRPr="00AC6C38" w:rsidRDefault="004F1ECF" w:rsidP="00E50CE0">
      <w:pPr>
        <w:pStyle w:val="ListParagraph"/>
        <w:numPr>
          <w:ilvl w:val="0"/>
          <w:numId w:val="35"/>
        </w:numPr>
        <w:tabs>
          <w:tab w:val="left" w:pos="993"/>
        </w:tabs>
        <w:spacing w:after="0" w:line="276" w:lineRule="auto"/>
        <w:ind w:left="993" w:hanging="426"/>
        <w:jc w:val="both"/>
        <w:rPr>
          <w:rFonts w:ascii="Times New Roman" w:hAnsi="Times New Roman"/>
          <w:sz w:val="20"/>
          <w:szCs w:val="20"/>
        </w:rPr>
      </w:pPr>
      <w:r w:rsidRPr="00AC6C38">
        <w:rPr>
          <w:rFonts w:ascii="Times New Roman" w:hAnsi="Times New Roman"/>
          <w:sz w:val="20"/>
          <w:szCs w:val="20"/>
        </w:rPr>
        <w:t>Sanksi administratif</w:t>
      </w:r>
    </w:p>
    <w:p w14:paraId="64DAB849" w14:textId="33433B24" w:rsidR="004F1ECF" w:rsidRPr="00AC6C38" w:rsidRDefault="004F1ECF" w:rsidP="00E50CE0">
      <w:pPr>
        <w:pStyle w:val="ListParagraph"/>
        <w:tabs>
          <w:tab w:val="left" w:pos="993"/>
        </w:tabs>
        <w:spacing w:after="0" w:line="276" w:lineRule="auto"/>
        <w:ind w:left="993"/>
        <w:jc w:val="both"/>
        <w:rPr>
          <w:rFonts w:ascii="Times New Roman" w:hAnsi="Times New Roman"/>
          <w:sz w:val="20"/>
          <w:szCs w:val="20"/>
        </w:rPr>
      </w:pPr>
      <w:r w:rsidRPr="00AC6C38">
        <w:rPr>
          <w:rFonts w:ascii="Times New Roman" w:hAnsi="Times New Roman"/>
          <w:sz w:val="20"/>
          <w:szCs w:val="20"/>
        </w:rPr>
        <w:t>Diatur dalam Pasal 60</w:t>
      </w:r>
      <w:r w:rsidR="00772217" w:rsidRPr="00AC6C38">
        <w:rPr>
          <w:rFonts w:ascii="Times New Roman" w:hAnsi="Times New Roman"/>
          <w:sz w:val="20"/>
          <w:szCs w:val="20"/>
        </w:rPr>
        <w:t xml:space="preserve"> UUPK</w:t>
      </w:r>
      <w:r w:rsidRPr="00AC6C38">
        <w:rPr>
          <w:rFonts w:ascii="Times New Roman" w:hAnsi="Times New Roman"/>
          <w:sz w:val="20"/>
          <w:szCs w:val="20"/>
        </w:rPr>
        <w:t xml:space="preserve"> yang menyebutkan,</w:t>
      </w:r>
    </w:p>
    <w:p w14:paraId="35DCAA4D" w14:textId="77777777" w:rsidR="004F1ECF" w:rsidRPr="00AC6C38" w:rsidRDefault="004F1ECF" w:rsidP="00E50CE0">
      <w:pPr>
        <w:pStyle w:val="ListParagraph"/>
        <w:numPr>
          <w:ilvl w:val="0"/>
          <w:numId w:val="36"/>
        </w:numPr>
        <w:tabs>
          <w:tab w:val="left" w:pos="993"/>
        </w:tabs>
        <w:spacing w:after="0" w:line="276" w:lineRule="auto"/>
        <w:ind w:left="1418" w:hanging="425"/>
        <w:jc w:val="both"/>
        <w:rPr>
          <w:rFonts w:ascii="Times New Roman" w:hAnsi="Times New Roman"/>
          <w:sz w:val="20"/>
          <w:szCs w:val="20"/>
        </w:rPr>
      </w:pPr>
      <w:r w:rsidRPr="00AC6C38">
        <w:rPr>
          <w:rFonts w:ascii="Times New Roman" w:hAnsi="Times New Roman"/>
          <w:sz w:val="20"/>
          <w:szCs w:val="20"/>
        </w:rPr>
        <w:t>“Badan penyelesaian sengketa konsumen berwenang menjatuhkan sanksi administratif terhadap pelaku usaha yang melanggar Pasal 19 ayat (2) dan ayat (3), Pasal 20, Pasal 25, dan Pasal 26</w:t>
      </w:r>
    </w:p>
    <w:p w14:paraId="6D7E2762" w14:textId="77777777" w:rsidR="004F1ECF" w:rsidRPr="00AC6C38" w:rsidRDefault="004F1ECF" w:rsidP="00E50CE0">
      <w:pPr>
        <w:pStyle w:val="ListParagraph"/>
        <w:numPr>
          <w:ilvl w:val="0"/>
          <w:numId w:val="36"/>
        </w:numPr>
        <w:tabs>
          <w:tab w:val="left" w:pos="993"/>
        </w:tabs>
        <w:spacing w:after="0" w:line="276" w:lineRule="auto"/>
        <w:ind w:left="1418" w:hanging="425"/>
        <w:jc w:val="both"/>
        <w:rPr>
          <w:rFonts w:ascii="Times New Roman" w:hAnsi="Times New Roman"/>
          <w:sz w:val="20"/>
          <w:szCs w:val="20"/>
        </w:rPr>
      </w:pPr>
      <w:r w:rsidRPr="00AC6C38">
        <w:rPr>
          <w:rFonts w:ascii="Times New Roman" w:hAnsi="Times New Roman"/>
          <w:sz w:val="20"/>
          <w:szCs w:val="20"/>
        </w:rPr>
        <w:t xml:space="preserve">Sanksi administratif berupa penetapan ganti rugi paling banyak Rp 200.000.000,00 (dua ratus juta rupiah). </w:t>
      </w:r>
    </w:p>
    <w:p w14:paraId="1BB9CB85" w14:textId="77777777" w:rsidR="004F1ECF" w:rsidRPr="00AC6C38" w:rsidRDefault="004F1ECF" w:rsidP="00E50CE0">
      <w:pPr>
        <w:pStyle w:val="ListParagraph"/>
        <w:numPr>
          <w:ilvl w:val="0"/>
          <w:numId w:val="36"/>
        </w:numPr>
        <w:tabs>
          <w:tab w:val="left" w:pos="993"/>
        </w:tabs>
        <w:spacing w:after="0" w:line="276" w:lineRule="auto"/>
        <w:ind w:left="1418" w:hanging="425"/>
        <w:jc w:val="both"/>
        <w:rPr>
          <w:rFonts w:ascii="Times New Roman" w:hAnsi="Times New Roman"/>
          <w:sz w:val="20"/>
          <w:szCs w:val="20"/>
        </w:rPr>
      </w:pPr>
      <w:r w:rsidRPr="00AC6C38">
        <w:rPr>
          <w:rFonts w:ascii="Times New Roman" w:hAnsi="Times New Roman"/>
          <w:sz w:val="20"/>
          <w:szCs w:val="20"/>
        </w:rPr>
        <w:t>Tata cara penetapan sanksi administratif sebagaimana dimaksud pada ayat (1) diatur lebih lanjut dalam peraturan perundang-undangan.”</w:t>
      </w:r>
    </w:p>
    <w:p w14:paraId="41C17CF7" w14:textId="77777777" w:rsidR="004F1ECF" w:rsidRPr="00AC6C38" w:rsidRDefault="004F1ECF" w:rsidP="00E50CE0">
      <w:pPr>
        <w:pStyle w:val="ListParagraph"/>
        <w:numPr>
          <w:ilvl w:val="0"/>
          <w:numId w:val="35"/>
        </w:numPr>
        <w:tabs>
          <w:tab w:val="left" w:pos="993"/>
        </w:tabs>
        <w:spacing w:after="0" w:line="276" w:lineRule="auto"/>
        <w:ind w:left="993" w:hanging="426"/>
        <w:jc w:val="both"/>
        <w:rPr>
          <w:rFonts w:ascii="Times New Roman" w:hAnsi="Times New Roman"/>
          <w:sz w:val="20"/>
          <w:szCs w:val="20"/>
        </w:rPr>
      </w:pPr>
      <w:r w:rsidRPr="00AC6C38">
        <w:rPr>
          <w:rFonts w:ascii="Times New Roman" w:hAnsi="Times New Roman"/>
          <w:sz w:val="20"/>
          <w:szCs w:val="20"/>
        </w:rPr>
        <w:t>Sanksi pidana</w:t>
      </w:r>
    </w:p>
    <w:p w14:paraId="36E3ECCB" w14:textId="1CD87A15" w:rsidR="004F1ECF" w:rsidRPr="00AC6C38" w:rsidRDefault="004F1ECF" w:rsidP="00E50CE0">
      <w:pPr>
        <w:pStyle w:val="ListParagraph"/>
        <w:tabs>
          <w:tab w:val="left" w:pos="993"/>
        </w:tabs>
        <w:spacing w:after="0" w:line="276" w:lineRule="auto"/>
        <w:ind w:left="993"/>
        <w:jc w:val="both"/>
        <w:rPr>
          <w:rFonts w:ascii="Times New Roman" w:hAnsi="Times New Roman"/>
          <w:sz w:val="20"/>
          <w:szCs w:val="20"/>
        </w:rPr>
      </w:pPr>
      <w:r w:rsidRPr="00AC6C38">
        <w:rPr>
          <w:rFonts w:ascii="Times New Roman" w:hAnsi="Times New Roman"/>
          <w:sz w:val="20"/>
          <w:szCs w:val="20"/>
        </w:rPr>
        <w:t>Diatur dalam Pasal 61</w:t>
      </w:r>
      <w:r w:rsidR="00515ABB" w:rsidRPr="00AC6C38">
        <w:rPr>
          <w:rFonts w:ascii="Times New Roman" w:hAnsi="Times New Roman"/>
          <w:sz w:val="20"/>
          <w:szCs w:val="20"/>
        </w:rPr>
        <w:t xml:space="preserve"> s/d Pasal </w:t>
      </w:r>
      <w:r w:rsidRPr="00AC6C38">
        <w:rPr>
          <w:rFonts w:ascii="Times New Roman" w:hAnsi="Times New Roman"/>
          <w:sz w:val="20"/>
          <w:szCs w:val="20"/>
        </w:rPr>
        <w:t xml:space="preserve">63 </w:t>
      </w:r>
      <w:r w:rsidR="005A0696" w:rsidRPr="00AC6C38">
        <w:rPr>
          <w:rFonts w:ascii="Times New Roman" w:hAnsi="Times New Roman"/>
          <w:sz w:val="20"/>
          <w:szCs w:val="20"/>
        </w:rPr>
        <w:t xml:space="preserve">UUPK </w:t>
      </w:r>
      <w:r w:rsidRPr="00AC6C38">
        <w:rPr>
          <w:rFonts w:ascii="Times New Roman" w:hAnsi="Times New Roman"/>
          <w:sz w:val="20"/>
          <w:szCs w:val="20"/>
        </w:rPr>
        <w:t xml:space="preserve">yang menyebutkan bahwa penuntutan pidana dapat dilakukan terhadap pelaku usaha dan/atau pengurusnya. Pada Pasal 62 </w:t>
      </w:r>
      <w:r w:rsidR="005A0696" w:rsidRPr="00AC6C38">
        <w:rPr>
          <w:rFonts w:ascii="Times New Roman" w:hAnsi="Times New Roman"/>
          <w:sz w:val="20"/>
          <w:szCs w:val="20"/>
        </w:rPr>
        <w:t xml:space="preserve">UUPK </w:t>
      </w:r>
      <w:r w:rsidRPr="00AC6C38">
        <w:rPr>
          <w:rFonts w:ascii="Times New Roman" w:hAnsi="Times New Roman"/>
          <w:sz w:val="20"/>
          <w:szCs w:val="20"/>
        </w:rPr>
        <w:t>dijelaskan lebih lanjut</w:t>
      </w:r>
    </w:p>
    <w:p w14:paraId="60FFF226" w14:textId="11450D43" w:rsidR="004F1ECF" w:rsidRPr="00AC6C38" w:rsidRDefault="00500D94" w:rsidP="00E50CE0">
      <w:pPr>
        <w:pStyle w:val="ListParagraph"/>
        <w:numPr>
          <w:ilvl w:val="0"/>
          <w:numId w:val="37"/>
        </w:numPr>
        <w:tabs>
          <w:tab w:val="left" w:pos="993"/>
        </w:tabs>
        <w:spacing w:after="0" w:line="276" w:lineRule="auto"/>
        <w:ind w:left="1418" w:hanging="425"/>
        <w:jc w:val="both"/>
        <w:rPr>
          <w:rFonts w:ascii="Times New Roman" w:hAnsi="Times New Roman"/>
          <w:sz w:val="20"/>
          <w:szCs w:val="20"/>
        </w:rPr>
      </w:pPr>
      <w:r w:rsidRPr="00AC6C38">
        <w:rPr>
          <w:rFonts w:ascii="Times New Roman" w:hAnsi="Times New Roman"/>
          <w:sz w:val="20"/>
          <w:szCs w:val="20"/>
          <w:lang w:val="en-US"/>
        </w:rPr>
        <w:t>“</w:t>
      </w:r>
      <w:r w:rsidR="004F1ECF" w:rsidRPr="00AC6C38">
        <w:rPr>
          <w:rFonts w:ascii="Times New Roman" w:hAnsi="Times New Roman"/>
          <w:sz w:val="20"/>
          <w:szCs w:val="20"/>
        </w:rPr>
        <w:t xml:space="preserve">Pelaku usaha yang melanggar ketentuan sebagaimana dimaksud dalam Pasal 8, Pasal 9, Pasal 10, Pasal 13 ayat (2), Pasal 15, Pasal 17 ayat (1) huruf a, huruf b, huruf c, huruf e, ayat (2), dan Pasal 18 dipidana dengan pidana penjara paling lama 5 (lima) tahun atau pidana </w:t>
      </w:r>
      <w:r w:rsidR="004F1ECF" w:rsidRPr="00AC6C38">
        <w:rPr>
          <w:rFonts w:ascii="Times New Roman" w:hAnsi="Times New Roman"/>
          <w:sz w:val="20"/>
          <w:szCs w:val="20"/>
        </w:rPr>
        <w:lastRenderedPageBreak/>
        <w:t xml:space="preserve">denda paling banyak Rp 2.000.000.000,00 (dua miliar rupiah). </w:t>
      </w:r>
    </w:p>
    <w:p w14:paraId="55F983CE" w14:textId="77777777" w:rsidR="004F1ECF" w:rsidRPr="00AC6C38" w:rsidRDefault="004F1ECF" w:rsidP="00E50CE0">
      <w:pPr>
        <w:pStyle w:val="ListParagraph"/>
        <w:numPr>
          <w:ilvl w:val="0"/>
          <w:numId w:val="37"/>
        </w:numPr>
        <w:tabs>
          <w:tab w:val="left" w:pos="993"/>
        </w:tabs>
        <w:spacing w:after="0" w:line="276" w:lineRule="auto"/>
        <w:ind w:left="1418" w:hanging="425"/>
        <w:jc w:val="both"/>
        <w:rPr>
          <w:rFonts w:ascii="Times New Roman" w:hAnsi="Times New Roman"/>
          <w:sz w:val="20"/>
          <w:szCs w:val="20"/>
        </w:rPr>
      </w:pPr>
      <w:r w:rsidRPr="00AC6C38">
        <w:rPr>
          <w:rFonts w:ascii="Times New Roman" w:hAnsi="Times New Roman"/>
          <w:sz w:val="20"/>
          <w:szCs w:val="20"/>
        </w:rPr>
        <w:t xml:space="preserve">Pelaku usaha yang melanggar ketentuan sebagaimana dimaksud dalam Pasal 11, Pasal 12, Pasal 13 ayat (1), Pasal 14, Pasal 16, dan Pasal 17 ayat (1) huruf d dan huruf f dipidana dengan pidana penjara paling lama 2 (dua) tahun atau pidana denda paling banyak Rp 500.000.000,00 (lima ratus juta rupiah). </w:t>
      </w:r>
    </w:p>
    <w:p w14:paraId="6042542B" w14:textId="5568CDE0" w:rsidR="004F1ECF" w:rsidRPr="00AC6C38" w:rsidRDefault="004F1ECF" w:rsidP="00E50CE0">
      <w:pPr>
        <w:pStyle w:val="ListParagraph"/>
        <w:numPr>
          <w:ilvl w:val="0"/>
          <w:numId w:val="37"/>
        </w:numPr>
        <w:tabs>
          <w:tab w:val="left" w:pos="993"/>
        </w:tabs>
        <w:spacing w:after="0" w:line="276" w:lineRule="auto"/>
        <w:ind w:left="1418" w:hanging="425"/>
        <w:jc w:val="both"/>
        <w:rPr>
          <w:rFonts w:ascii="Times New Roman" w:hAnsi="Times New Roman"/>
          <w:sz w:val="20"/>
          <w:szCs w:val="20"/>
        </w:rPr>
      </w:pPr>
      <w:r w:rsidRPr="00AC6C38">
        <w:rPr>
          <w:rFonts w:ascii="Times New Roman" w:hAnsi="Times New Roman"/>
          <w:sz w:val="20"/>
          <w:szCs w:val="20"/>
        </w:rPr>
        <w:t>Terhadap pelanggaran yang mengakibatkan luka berat, sakit berat, cacat tetap atau kematian diberlakukan ketentuan pidana yang berlaku.</w:t>
      </w:r>
      <w:r w:rsidR="00500D94" w:rsidRPr="00AC6C38">
        <w:rPr>
          <w:rFonts w:ascii="Times New Roman" w:hAnsi="Times New Roman"/>
          <w:sz w:val="20"/>
          <w:szCs w:val="20"/>
          <w:lang w:val="en-US"/>
        </w:rPr>
        <w:t>”</w:t>
      </w:r>
    </w:p>
    <w:p w14:paraId="6BA3E9C2" w14:textId="77777777" w:rsidR="004E096B" w:rsidRPr="00AC6C38" w:rsidRDefault="004F1ECF" w:rsidP="00E50CE0">
      <w:pPr>
        <w:pStyle w:val="ListParagraph"/>
        <w:spacing w:after="0" w:line="276" w:lineRule="auto"/>
        <w:ind w:left="567" w:firstLine="426"/>
        <w:jc w:val="both"/>
        <w:rPr>
          <w:rFonts w:ascii="Times New Roman" w:hAnsi="Times New Roman"/>
          <w:sz w:val="20"/>
          <w:szCs w:val="20"/>
        </w:rPr>
      </w:pPr>
      <w:r w:rsidRPr="00AC6C38">
        <w:rPr>
          <w:rFonts w:ascii="Times New Roman" w:hAnsi="Times New Roman"/>
          <w:sz w:val="20"/>
          <w:szCs w:val="20"/>
        </w:rPr>
        <w:t xml:space="preserve">Sedangkan dalam Aplikasi </w:t>
      </w:r>
      <w:r w:rsidRPr="00AC6C38">
        <w:rPr>
          <w:rFonts w:ascii="Times New Roman" w:hAnsi="Times New Roman"/>
          <w:i/>
          <w:iCs/>
          <w:sz w:val="20"/>
          <w:szCs w:val="20"/>
        </w:rPr>
        <w:t>Reddoorz</w:t>
      </w:r>
      <w:r w:rsidRPr="00AC6C38">
        <w:rPr>
          <w:rFonts w:ascii="Times New Roman" w:hAnsi="Times New Roman"/>
          <w:sz w:val="20"/>
          <w:szCs w:val="20"/>
        </w:rPr>
        <w:t xml:space="preserve"> karena terdapat klausula, </w:t>
      </w:r>
    </w:p>
    <w:p w14:paraId="765B4FF2" w14:textId="54824C31" w:rsidR="00A16A82" w:rsidRPr="00AC6C38" w:rsidRDefault="004F1ECF" w:rsidP="00E50CE0">
      <w:pPr>
        <w:pStyle w:val="ListParagraph"/>
        <w:spacing w:after="0" w:line="276" w:lineRule="auto"/>
        <w:ind w:left="993"/>
        <w:jc w:val="both"/>
        <w:rPr>
          <w:rFonts w:ascii="Times New Roman" w:hAnsi="Times New Roman"/>
          <w:sz w:val="20"/>
          <w:szCs w:val="20"/>
        </w:rPr>
      </w:pPr>
      <w:r w:rsidRPr="00AC6C38">
        <w:rPr>
          <w:rFonts w:ascii="Times New Roman" w:hAnsi="Times New Roman"/>
          <w:sz w:val="20"/>
          <w:szCs w:val="20"/>
        </w:rPr>
        <w:t>“</w:t>
      </w:r>
      <w:r w:rsidR="004E096B" w:rsidRPr="00AC6C38">
        <w:rPr>
          <w:rFonts w:ascii="Times New Roman" w:hAnsi="Times New Roman"/>
          <w:sz w:val="20"/>
          <w:szCs w:val="20"/>
        </w:rPr>
        <w:t>D</w:t>
      </w:r>
      <w:r w:rsidRPr="00AC6C38">
        <w:rPr>
          <w:rFonts w:ascii="Times New Roman" w:hAnsi="Times New Roman"/>
          <w:sz w:val="20"/>
          <w:szCs w:val="20"/>
        </w:rPr>
        <w:t xml:space="preserve">alam keadaan apapun, tanggung jawab total </w:t>
      </w:r>
      <w:r w:rsidRPr="00AC6C38">
        <w:rPr>
          <w:rFonts w:ascii="Times New Roman" w:hAnsi="Times New Roman"/>
          <w:i/>
          <w:iCs/>
          <w:sz w:val="20"/>
          <w:szCs w:val="20"/>
        </w:rPr>
        <w:t>RedDoorz</w:t>
      </w:r>
      <w:r w:rsidRPr="00AC6C38">
        <w:rPr>
          <w:rFonts w:ascii="Times New Roman" w:hAnsi="Times New Roman"/>
          <w:sz w:val="20"/>
          <w:szCs w:val="20"/>
        </w:rPr>
        <w:t xml:space="preserve"> kepada anda atas semua kerugian, dan penyebab tindakan (baik dalam kontrak atau kesalahan, termasuk namun tidak terbatas pada kelalaian atau lainnya) untuk ketentuan penggunaan anda atas </w:t>
      </w:r>
      <w:r w:rsidRPr="00AC6C38">
        <w:rPr>
          <w:rFonts w:ascii="Times New Roman" w:hAnsi="Times New Roman"/>
          <w:i/>
          <w:iCs/>
          <w:sz w:val="20"/>
          <w:szCs w:val="20"/>
        </w:rPr>
        <w:t>platform</w:t>
      </w:r>
      <w:r w:rsidRPr="00AC6C38">
        <w:rPr>
          <w:rFonts w:ascii="Times New Roman" w:hAnsi="Times New Roman"/>
          <w:sz w:val="20"/>
          <w:szCs w:val="20"/>
        </w:rPr>
        <w:t xml:space="preserve"> ini tidak boleh melebihi USS 50,00</w:t>
      </w:r>
      <w:r w:rsidR="00772217" w:rsidRPr="00AC6C38">
        <w:rPr>
          <w:rFonts w:ascii="Times New Roman" w:hAnsi="Times New Roman"/>
          <w:sz w:val="20"/>
          <w:szCs w:val="20"/>
        </w:rPr>
        <w:t>.</w:t>
      </w:r>
      <w:r w:rsidRPr="00AC6C38">
        <w:rPr>
          <w:rFonts w:ascii="Times New Roman" w:hAnsi="Times New Roman"/>
          <w:sz w:val="20"/>
          <w:szCs w:val="20"/>
        </w:rPr>
        <w:t>”</w:t>
      </w:r>
    </w:p>
    <w:p w14:paraId="333BC675" w14:textId="77777777" w:rsidR="00AB7068" w:rsidRPr="00AC6C38" w:rsidRDefault="00AB7068" w:rsidP="00E50CE0">
      <w:pPr>
        <w:spacing w:line="276" w:lineRule="auto"/>
        <w:ind w:firstLine="567"/>
        <w:jc w:val="both"/>
        <w:rPr>
          <w:noProof/>
          <w:lang w:val="id-ID"/>
        </w:rPr>
      </w:pPr>
      <w:r w:rsidRPr="00AC6C38">
        <w:t xml:space="preserve">Klausula tersebut menimbulkan adanya pengalihan tanggung jawab yang dilakukan </w:t>
      </w:r>
      <w:r w:rsidRPr="00AC6C38">
        <w:rPr>
          <w:i/>
          <w:iCs/>
        </w:rPr>
        <w:t>Reddoorz</w:t>
      </w:r>
      <w:r w:rsidRPr="00AC6C38">
        <w:t xml:space="preserve"> </w:t>
      </w:r>
      <w:r w:rsidRPr="00AC6C38">
        <w:rPr>
          <w:lang w:val="id-ID"/>
        </w:rPr>
        <w:t xml:space="preserve">dan </w:t>
      </w:r>
      <w:r w:rsidRPr="00AC6C38">
        <w:t xml:space="preserve">pengalihan tanggung jawab yang dilakukan oleh </w:t>
      </w:r>
      <w:r w:rsidRPr="00AC6C38">
        <w:rPr>
          <w:i/>
          <w:iCs/>
        </w:rPr>
        <w:t>Red</w:t>
      </w:r>
      <w:r w:rsidRPr="00AC6C38">
        <w:rPr>
          <w:i/>
          <w:iCs/>
          <w:lang w:val="id-ID"/>
        </w:rPr>
        <w:t>D</w:t>
      </w:r>
      <w:r w:rsidRPr="00AC6C38">
        <w:rPr>
          <w:i/>
          <w:iCs/>
        </w:rPr>
        <w:t>oorz</w:t>
      </w:r>
      <w:r w:rsidRPr="00AC6C38">
        <w:t xml:space="preserve"> telah melanggar Pasal 18 </w:t>
      </w:r>
      <w:r w:rsidRPr="00AC6C38">
        <w:rPr>
          <w:lang w:val="id-ID"/>
        </w:rPr>
        <w:t xml:space="preserve">huruf a UUPK. Sesuai dengan pasal 18 ayat (3) UUPK yang menyatakan bahwa, ”setiap klausula baku yang ditetapkan oleh pelaku usaha pada dokumen atau perjanjian yang memenuhi ketentuan sebagaimana dimaksud pada ayat (1) dan (2) dinyatakan batal demi hukum”. Jadi, akibat hukum pada aplikasi </w:t>
      </w:r>
      <w:r w:rsidRPr="00AC6C38">
        <w:rPr>
          <w:i/>
          <w:iCs/>
          <w:noProof/>
        </w:rPr>
        <w:t>RedDoorz</w:t>
      </w:r>
      <w:r w:rsidRPr="00AC6C38">
        <w:rPr>
          <w:noProof/>
        </w:rPr>
        <w:t xml:space="preserve"> </w:t>
      </w:r>
      <w:r w:rsidRPr="00AC6C38">
        <w:rPr>
          <w:noProof/>
          <w:lang w:val="id-ID"/>
        </w:rPr>
        <w:t>dapat dinyatakan batal demi hukum sesuai dengan ketentuan Pasal 18 ayat (3) UUPK.</w:t>
      </w:r>
    </w:p>
    <w:p w14:paraId="17393286" w14:textId="77777777" w:rsidR="00AB7068" w:rsidRPr="00AC6C38" w:rsidRDefault="00AB7068" w:rsidP="00E50CE0">
      <w:pPr>
        <w:spacing w:line="276" w:lineRule="auto"/>
        <w:ind w:firstLine="567"/>
        <w:jc w:val="both"/>
        <w:rPr>
          <w:lang w:val="id-ID"/>
        </w:rPr>
      </w:pPr>
      <w:r w:rsidRPr="00AC6C38">
        <w:t>Pasal 1320 KUHPer</w:t>
      </w:r>
      <w:r w:rsidRPr="00AC6C38">
        <w:rPr>
          <w:lang w:val="id-ID"/>
        </w:rPr>
        <w:t xml:space="preserve"> menjelaskan</w:t>
      </w:r>
      <w:r w:rsidRPr="00AC6C38">
        <w:t xml:space="preserve"> bahwa klausula baku pada perjanjian harus memenuhi baik syarat-syarat objektif maupun syarat-syarat subjektif dari sahnya suatu perjanjian serta memenuhi asas kebebasan berkontrak, asas konsensualisme serta kedudukan yang seimbang dari para pihak yang membuat perjanjian.</w:t>
      </w:r>
      <w:r w:rsidRPr="00AC6C38">
        <w:rPr>
          <w:lang w:val="id-ID"/>
        </w:rPr>
        <w:t xml:space="preserve"> </w:t>
      </w:r>
      <w:r w:rsidRPr="00AC6C38">
        <w:t>Jika salah satu syarat dari sahnya perjanjian tidak terpenuhi maka perjanjian tersebut adalah batal demi hukum, yang berarti bahwa perjanjian tersebut dianggap tidak pernah ada sejak semula dan tidak mempunyai daya ikat. Artinya,</w:t>
      </w:r>
      <w:r w:rsidRPr="00AC6C38">
        <w:rPr>
          <w:lang w:val="id-ID"/>
        </w:rPr>
        <w:t xml:space="preserve"> kalusula baku pada syarat dan ketentuan pada aplikasi </w:t>
      </w:r>
      <w:r w:rsidRPr="00AC6C38">
        <w:rPr>
          <w:i/>
          <w:iCs/>
          <w:lang w:val="id-ID"/>
        </w:rPr>
        <w:t xml:space="preserve">RedDoorz </w:t>
      </w:r>
      <w:r w:rsidRPr="00AC6C38">
        <w:rPr>
          <w:lang w:val="id-ID"/>
        </w:rPr>
        <w:t xml:space="preserve">yang bertentangan dengan Pasal 18 huruf a UUPK batal demi hukum sesuai ketentuan Pasal 18 ayat (3) UUPK. </w:t>
      </w:r>
      <w:r w:rsidRPr="00AC6C38">
        <w:t>Pasal 18 ayat (4) U</w:t>
      </w:r>
      <w:r w:rsidRPr="00AC6C38">
        <w:rPr>
          <w:lang w:val="id-ID"/>
        </w:rPr>
        <w:t>UPK</w:t>
      </w:r>
      <w:r w:rsidRPr="00AC6C38">
        <w:t xml:space="preserve"> selanjutnya mewajibkan para pelaku usaha untuk menyesuaikan klausula dalam perjanjian yang bertentangan dengan Pasal 18 </w:t>
      </w:r>
      <w:r w:rsidRPr="00AC6C38">
        <w:rPr>
          <w:lang w:val="id-ID"/>
        </w:rPr>
        <w:t>UUPK.</w:t>
      </w:r>
    </w:p>
    <w:p w14:paraId="25B1DB6E" w14:textId="77777777" w:rsidR="00AB7068" w:rsidRPr="00AC6C38" w:rsidRDefault="00AB7068" w:rsidP="00E50CE0">
      <w:pPr>
        <w:pStyle w:val="ListParagraph"/>
        <w:spacing w:after="0" w:line="276" w:lineRule="auto"/>
        <w:ind w:left="993"/>
        <w:jc w:val="both"/>
        <w:rPr>
          <w:rFonts w:ascii="Times New Roman" w:hAnsi="Times New Roman"/>
          <w:sz w:val="20"/>
          <w:szCs w:val="20"/>
        </w:rPr>
      </w:pPr>
    </w:p>
    <w:p w14:paraId="2816DC72" w14:textId="77777777" w:rsidR="00CE391A" w:rsidRPr="00AC6C38" w:rsidRDefault="00CE391A" w:rsidP="00E50CE0">
      <w:pPr>
        <w:spacing w:line="276" w:lineRule="auto"/>
        <w:jc w:val="both"/>
        <w:rPr>
          <w:b/>
        </w:rPr>
      </w:pPr>
      <w:r w:rsidRPr="00AC6C38">
        <w:rPr>
          <w:b/>
        </w:rPr>
        <w:t>PENUTUP</w:t>
      </w:r>
    </w:p>
    <w:p w14:paraId="1013B9B0" w14:textId="77777777" w:rsidR="00810D83" w:rsidRPr="00AC6C38" w:rsidRDefault="00CE391A" w:rsidP="00E50CE0">
      <w:pPr>
        <w:spacing w:line="276" w:lineRule="auto"/>
        <w:jc w:val="both"/>
        <w:rPr>
          <w:b/>
        </w:rPr>
      </w:pPr>
      <w:r w:rsidRPr="00AC6C38">
        <w:rPr>
          <w:b/>
        </w:rPr>
        <w:t>Simpulan</w:t>
      </w:r>
    </w:p>
    <w:p w14:paraId="4587D3E7" w14:textId="64936DDA" w:rsidR="00AB7068" w:rsidRPr="00AC6C38" w:rsidRDefault="00AB7068" w:rsidP="00E50CE0">
      <w:pPr>
        <w:pStyle w:val="ListParagraph"/>
        <w:numPr>
          <w:ilvl w:val="0"/>
          <w:numId w:val="45"/>
        </w:numPr>
        <w:tabs>
          <w:tab w:val="left" w:pos="72"/>
        </w:tabs>
        <w:spacing w:after="0" w:line="276" w:lineRule="auto"/>
        <w:ind w:left="426" w:hanging="426"/>
        <w:jc w:val="both"/>
        <w:rPr>
          <w:rFonts w:ascii="Times New Roman" w:hAnsi="Times New Roman"/>
          <w:sz w:val="20"/>
          <w:szCs w:val="20"/>
        </w:rPr>
      </w:pPr>
      <w:r w:rsidRPr="00AC6C38">
        <w:rPr>
          <w:rFonts w:ascii="Times New Roman" w:hAnsi="Times New Roman"/>
          <w:sz w:val="20"/>
          <w:szCs w:val="20"/>
        </w:rPr>
        <w:lastRenderedPageBreak/>
        <w:t xml:space="preserve">Perlindungan Hukum yang bisa di peroleh pengguna adalah perlindungan preventif dengan pengaturan ketentuan yang mengatur secara rinci mengenai syarat sah perjanjian dan hal-hal yang tidak boleh dimuat dalam pembuatan klausula baku. Pengaturan tersebut telah diatur dalam Pasal 1320 KUHPerdata yang mengatur mengenai syarat sahnya perjanjian, serta dalam Pasal 18 UUPK yang mengatur mengenai hal-hal yang tidak boleh dicantumkan dalam pembuatan klausula baku. Selanjutnya, perlindungan represif apabila terjadi sengketa antara aplikasi </w:t>
      </w:r>
      <w:r w:rsidRPr="00AC6C38">
        <w:rPr>
          <w:rFonts w:ascii="Times New Roman" w:hAnsi="Times New Roman"/>
          <w:i/>
          <w:iCs/>
          <w:sz w:val="20"/>
          <w:szCs w:val="20"/>
        </w:rPr>
        <w:t>RedDoorz</w:t>
      </w:r>
      <w:r w:rsidRPr="00AC6C38">
        <w:rPr>
          <w:rFonts w:ascii="Times New Roman" w:hAnsi="Times New Roman"/>
          <w:sz w:val="20"/>
          <w:szCs w:val="20"/>
        </w:rPr>
        <w:t xml:space="preserve"> dan pengguna aplikasi </w:t>
      </w:r>
      <w:r w:rsidRPr="00AC6C38">
        <w:rPr>
          <w:rFonts w:ascii="Times New Roman" w:hAnsi="Times New Roman"/>
          <w:i/>
          <w:iCs/>
          <w:sz w:val="20"/>
          <w:szCs w:val="20"/>
        </w:rPr>
        <w:t>RedDoorz</w:t>
      </w:r>
      <w:r w:rsidRPr="00AC6C38">
        <w:rPr>
          <w:rFonts w:ascii="Times New Roman" w:hAnsi="Times New Roman"/>
          <w:sz w:val="20"/>
          <w:szCs w:val="20"/>
        </w:rPr>
        <w:t xml:space="preserve"> adalah sanksi administratif yang terdapat pada Pasal 60 UUPK serta sanksi pidana yang terdapat pada Pasal 61 s/d Pasal 63 UUPK dan dengan upaya hukum litigasi atau upaya hukum non litigasi.</w:t>
      </w:r>
    </w:p>
    <w:p w14:paraId="06EA2FDF" w14:textId="0783C647" w:rsidR="00AB7068" w:rsidRPr="00AC6C38" w:rsidRDefault="00AB7068" w:rsidP="00E50CE0">
      <w:pPr>
        <w:pStyle w:val="ListParagraph"/>
        <w:numPr>
          <w:ilvl w:val="0"/>
          <w:numId w:val="45"/>
        </w:numPr>
        <w:tabs>
          <w:tab w:val="left" w:pos="72"/>
        </w:tabs>
        <w:spacing w:after="0" w:line="276" w:lineRule="auto"/>
        <w:ind w:left="426" w:hanging="426"/>
        <w:jc w:val="both"/>
        <w:rPr>
          <w:rFonts w:ascii="Times New Roman" w:hAnsi="Times New Roman"/>
          <w:sz w:val="20"/>
          <w:szCs w:val="20"/>
        </w:rPr>
      </w:pPr>
      <w:r w:rsidRPr="00AC6C38">
        <w:rPr>
          <w:rFonts w:ascii="Times New Roman" w:hAnsi="Times New Roman"/>
          <w:sz w:val="20"/>
          <w:szCs w:val="20"/>
        </w:rPr>
        <w:t xml:space="preserve">Akibat dari pengalihan tanggung jawab yang dilakukan oleh </w:t>
      </w:r>
      <w:r w:rsidRPr="00AC6C38">
        <w:rPr>
          <w:rFonts w:ascii="Times New Roman" w:hAnsi="Times New Roman"/>
          <w:i/>
          <w:iCs/>
          <w:sz w:val="20"/>
          <w:szCs w:val="20"/>
        </w:rPr>
        <w:t>RedDoorz</w:t>
      </w:r>
      <w:r w:rsidRPr="00AC6C38">
        <w:rPr>
          <w:rFonts w:ascii="Times New Roman" w:hAnsi="Times New Roman"/>
          <w:sz w:val="20"/>
          <w:szCs w:val="20"/>
        </w:rPr>
        <w:t xml:space="preserve"> telah melanggar Pasal 18 huruf a UUPK,  maka sesuai dengan pasal 18 ayat (3) UUPK yang menyatakan bahwa, ”setiap klausula baku yang ditetapkan oleh pelaku usaha pada dokumen atau perjanjian yang memenuhi ketentuan sebagaimana dimaksud pada ayat (1) dan (2) dinyatakan batal demi hukum”. Jadi, klausula baku yang tertera pada syarat dan ketentuan pada aplikasi </w:t>
      </w:r>
      <w:r w:rsidRPr="00AC6C38">
        <w:rPr>
          <w:rFonts w:ascii="Times New Roman" w:hAnsi="Times New Roman"/>
          <w:i/>
          <w:iCs/>
          <w:sz w:val="20"/>
          <w:szCs w:val="20"/>
        </w:rPr>
        <w:t>RedDoorz</w:t>
      </w:r>
      <w:r w:rsidRPr="00AC6C38">
        <w:rPr>
          <w:rFonts w:ascii="Times New Roman" w:hAnsi="Times New Roman"/>
          <w:sz w:val="20"/>
          <w:szCs w:val="20"/>
        </w:rPr>
        <w:t xml:space="preserve"> dinyatakan batal demi hukum sesuai dengan Pasal 18 ayat (3) UUPK.</w:t>
      </w:r>
    </w:p>
    <w:p w14:paraId="26E1F108" w14:textId="77777777" w:rsidR="00A16A82" w:rsidRPr="00AC6C38" w:rsidRDefault="00A16A82" w:rsidP="00E50CE0">
      <w:pPr>
        <w:spacing w:line="276" w:lineRule="auto"/>
      </w:pPr>
    </w:p>
    <w:p w14:paraId="44E89074" w14:textId="77777777" w:rsidR="00D50A04" w:rsidRPr="00AC6C38" w:rsidRDefault="00D50A04" w:rsidP="00E50CE0">
      <w:pPr>
        <w:spacing w:line="276" w:lineRule="auto"/>
        <w:jc w:val="both"/>
        <w:rPr>
          <w:b/>
        </w:rPr>
      </w:pPr>
      <w:r w:rsidRPr="00AC6C38">
        <w:rPr>
          <w:b/>
        </w:rPr>
        <w:t>S</w:t>
      </w:r>
      <w:r w:rsidR="00CE391A" w:rsidRPr="00AC6C38">
        <w:rPr>
          <w:b/>
        </w:rPr>
        <w:t>aran</w:t>
      </w:r>
    </w:p>
    <w:p w14:paraId="28FA9619" w14:textId="6EB21F23" w:rsidR="00C62C2A" w:rsidRPr="00AC6C38" w:rsidRDefault="00C62C2A" w:rsidP="00E50CE0">
      <w:pPr>
        <w:pStyle w:val="ListParagraph"/>
        <w:numPr>
          <w:ilvl w:val="0"/>
          <w:numId w:val="43"/>
        </w:numPr>
        <w:spacing w:after="0" w:line="276" w:lineRule="auto"/>
        <w:ind w:left="426" w:hanging="426"/>
        <w:jc w:val="both"/>
        <w:rPr>
          <w:rFonts w:ascii="Times New Roman" w:hAnsi="Times New Roman"/>
          <w:sz w:val="20"/>
          <w:szCs w:val="20"/>
          <w:lang w:val="en-US"/>
        </w:rPr>
      </w:pPr>
      <w:r w:rsidRPr="00AC6C38">
        <w:rPr>
          <w:rFonts w:ascii="Times New Roman" w:hAnsi="Times New Roman"/>
          <w:sz w:val="20"/>
          <w:szCs w:val="20"/>
          <w:lang w:val="en-US"/>
        </w:rPr>
        <w:t xml:space="preserve">Diharapkan kepada </w:t>
      </w:r>
      <w:r w:rsidR="00775B1A" w:rsidRPr="00AC6C38">
        <w:rPr>
          <w:rFonts w:ascii="Times New Roman" w:hAnsi="Times New Roman"/>
          <w:sz w:val="20"/>
          <w:szCs w:val="20"/>
        </w:rPr>
        <w:t>pengguna aplikasi</w:t>
      </w:r>
      <w:r w:rsidRPr="00AC6C38">
        <w:rPr>
          <w:rFonts w:ascii="Times New Roman" w:hAnsi="Times New Roman"/>
          <w:sz w:val="20"/>
          <w:szCs w:val="20"/>
          <w:lang w:val="en-US"/>
        </w:rPr>
        <w:t xml:space="preserve"> </w:t>
      </w:r>
      <w:r w:rsidRPr="00AC6C38">
        <w:rPr>
          <w:rFonts w:ascii="Times New Roman" w:hAnsi="Times New Roman"/>
          <w:i/>
          <w:iCs/>
          <w:sz w:val="20"/>
          <w:szCs w:val="20"/>
          <w:lang w:val="en-US"/>
        </w:rPr>
        <w:t>Red</w:t>
      </w:r>
      <w:r w:rsidR="00775B1A" w:rsidRPr="00AC6C38">
        <w:rPr>
          <w:rFonts w:ascii="Times New Roman" w:hAnsi="Times New Roman"/>
          <w:i/>
          <w:iCs/>
          <w:sz w:val="20"/>
          <w:szCs w:val="20"/>
        </w:rPr>
        <w:t>D</w:t>
      </w:r>
      <w:r w:rsidRPr="00AC6C38">
        <w:rPr>
          <w:rFonts w:ascii="Times New Roman" w:hAnsi="Times New Roman"/>
          <w:i/>
          <w:iCs/>
          <w:sz w:val="20"/>
          <w:szCs w:val="20"/>
          <w:lang w:val="en-US"/>
        </w:rPr>
        <w:t>oorz</w:t>
      </w:r>
      <w:r w:rsidRPr="00AC6C38">
        <w:rPr>
          <w:rFonts w:ascii="Times New Roman" w:hAnsi="Times New Roman"/>
          <w:sz w:val="20"/>
          <w:szCs w:val="20"/>
          <w:lang w:val="en-US"/>
        </w:rPr>
        <w:t xml:space="preserve"> agar</w:t>
      </w:r>
      <w:r w:rsidR="00973A17" w:rsidRPr="00AC6C38">
        <w:rPr>
          <w:rFonts w:ascii="Times New Roman" w:hAnsi="Times New Roman"/>
          <w:sz w:val="20"/>
          <w:szCs w:val="20"/>
        </w:rPr>
        <w:t xml:space="preserve"> lebih</w:t>
      </w:r>
      <w:r w:rsidRPr="00AC6C38">
        <w:rPr>
          <w:rFonts w:ascii="Times New Roman" w:hAnsi="Times New Roman"/>
          <w:sz w:val="20"/>
          <w:szCs w:val="20"/>
          <w:lang w:val="en-US"/>
        </w:rPr>
        <w:t xml:space="preserve"> </w:t>
      </w:r>
      <w:r w:rsidR="000A4D56" w:rsidRPr="00AC6C38">
        <w:rPr>
          <w:rFonts w:ascii="Times New Roman" w:hAnsi="Times New Roman"/>
          <w:sz w:val="20"/>
          <w:szCs w:val="20"/>
        </w:rPr>
        <w:t xml:space="preserve">berhati-hati dalam </w:t>
      </w:r>
      <w:r w:rsidR="00973A17" w:rsidRPr="00AC6C38">
        <w:rPr>
          <w:rFonts w:ascii="Times New Roman" w:hAnsi="Times New Roman"/>
          <w:sz w:val="20"/>
          <w:szCs w:val="20"/>
        </w:rPr>
        <w:t xml:space="preserve">melakukan </w:t>
      </w:r>
      <w:r w:rsidR="000A4D56" w:rsidRPr="00AC6C38">
        <w:rPr>
          <w:rFonts w:ascii="Times New Roman" w:hAnsi="Times New Roman"/>
          <w:sz w:val="20"/>
          <w:szCs w:val="20"/>
        </w:rPr>
        <w:t xml:space="preserve">transaksi pada aplikasi </w:t>
      </w:r>
      <w:r w:rsidR="000A4D56" w:rsidRPr="00AC6C38">
        <w:rPr>
          <w:rFonts w:ascii="Times New Roman" w:hAnsi="Times New Roman"/>
          <w:i/>
          <w:iCs/>
          <w:sz w:val="20"/>
          <w:szCs w:val="20"/>
        </w:rPr>
        <w:t>RedDoorz</w:t>
      </w:r>
      <w:r w:rsidR="000A4D56" w:rsidRPr="00AC6C38">
        <w:rPr>
          <w:rFonts w:ascii="Times New Roman" w:hAnsi="Times New Roman"/>
          <w:sz w:val="20"/>
          <w:szCs w:val="20"/>
        </w:rPr>
        <w:t xml:space="preserve"> </w:t>
      </w:r>
      <w:r w:rsidR="00973A17" w:rsidRPr="00AC6C38">
        <w:rPr>
          <w:rFonts w:ascii="Times New Roman" w:hAnsi="Times New Roman"/>
          <w:sz w:val="20"/>
          <w:szCs w:val="20"/>
        </w:rPr>
        <w:t xml:space="preserve">dan teliti </w:t>
      </w:r>
      <w:r w:rsidRPr="00AC6C38">
        <w:rPr>
          <w:rFonts w:ascii="Times New Roman" w:hAnsi="Times New Roman"/>
          <w:sz w:val="20"/>
          <w:szCs w:val="20"/>
          <w:lang w:val="en-US"/>
        </w:rPr>
        <w:t xml:space="preserve">dalam membaca </w:t>
      </w:r>
      <w:r w:rsidR="00775B1A" w:rsidRPr="00AC6C38">
        <w:rPr>
          <w:rFonts w:ascii="Times New Roman" w:hAnsi="Times New Roman"/>
          <w:sz w:val="20"/>
          <w:szCs w:val="20"/>
        </w:rPr>
        <w:t xml:space="preserve">klausula baku yang terdapat pada syarat dan ketentuan aplikasi </w:t>
      </w:r>
      <w:r w:rsidR="00775B1A" w:rsidRPr="00AC6C38">
        <w:rPr>
          <w:rFonts w:ascii="Times New Roman" w:hAnsi="Times New Roman"/>
          <w:i/>
          <w:iCs/>
          <w:sz w:val="20"/>
          <w:szCs w:val="20"/>
        </w:rPr>
        <w:t>RedDoorz</w:t>
      </w:r>
      <w:r w:rsidRPr="00AC6C38">
        <w:rPr>
          <w:rFonts w:ascii="Times New Roman" w:hAnsi="Times New Roman"/>
          <w:sz w:val="20"/>
          <w:szCs w:val="20"/>
          <w:lang w:val="en-US"/>
        </w:rPr>
        <w:t>,</w:t>
      </w:r>
      <w:r w:rsidR="00973A17" w:rsidRPr="00AC6C38">
        <w:rPr>
          <w:rFonts w:ascii="Times New Roman" w:hAnsi="Times New Roman"/>
          <w:sz w:val="20"/>
          <w:szCs w:val="20"/>
        </w:rPr>
        <w:t xml:space="preserve"> karena pihak </w:t>
      </w:r>
      <w:r w:rsidR="00973A17" w:rsidRPr="00AC6C38">
        <w:rPr>
          <w:rFonts w:ascii="Times New Roman" w:hAnsi="Times New Roman"/>
          <w:i/>
          <w:iCs/>
          <w:sz w:val="20"/>
          <w:szCs w:val="20"/>
        </w:rPr>
        <w:t>RedDoorz</w:t>
      </w:r>
      <w:r w:rsidR="00973A17" w:rsidRPr="00AC6C38">
        <w:rPr>
          <w:rFonts w:ascii="Times New Roman" w:hAnsi="Times New Roman"/>
          <w:sz w:val="20"/>
          <w:szCs w:val="20"/>
        </w:rPr>
        <w:t xml:space="preserve"> mengalihkan seluruh tanggung jawabnya kepada pengguna aplikasi.</w:t>
      </w:r>
    </w:p>
    <w:p w14:paraId="305CFC66" w14:textId="6B0B6DA6" w:rsidR="00A16A82" w:rsidRPr="00AC6C38" w:rsidRDefault="005504CD" w:rsidP="00E50CE0">
      <w:pPr>
        <w:pStyle w:val="ListParagraph"/>
        <w:numPr>
          <w:ilvl w:val="0"/>
          <w:numId w:val="43"/>
        </w:numPr>
        <w:spacing w:after="0" w:line="276" w:lineRule="auto"/>
        <w:ind w:left="426" w:hanging="426"/>
        <w:jc w:val="both"/>
        <w:rPr>
          <w:rFonts w:ascii="Times New Roman" w:hAnsi="Times New Roman"/>
          <w:sz w:val="20"/>
          <w:szCs w:val="20"/>
          <w:lang w:val="en-US"/>
        </w:rPr>
      </w:pPr>
      <w:r w:rsidRPr="00AC6C38">
        <w:rPr>
          <w:rFonts w:ascii="Times New Roman" w:hAnsi="Times New Roman"/>
          <w:sz w:val="20"/>
          <w:szCs w:val="20"/>
        </w:rPr>
        <w:t>Diharakan kepada</w:t>
      </w:r>
      <w:r w:rsidRPr="00AC6C38">
        <w:rPr>
          <w:rFonts w:ascii="Times New Roman" w:hAnsi="Times New Roman"/>
          <w:sz w:val="20"/>
          <w:szCs w:val="20"/>
          <w:lang w:val="en-US"/>
        </w:rPr>
        <w:t xml:space="preserve"> </w:t>
      </w:r>
      <w:r w:rsidRPr="00AC6C38">
        <w:rPr>
          <w:rFonts w:ascii="Times New Roman" w:hAnsi="Times New Roman"/>
          <w:i/>
          <w:iCs/>
          <w:sz w:val="20"/>
          <w:szCs w:val="20"/>
        </w:rPr>
        <w:t>R</w:t>
      </w:r>
      <w:r w:rsidRPr="00AC6C38">
        <w:rPr>
          <w:rFonts w:ascii="Times New Roman" w:hAnsi="Times New Roman"/>
          <w:i/>
          <w:iCs/>
          <w:sz w:val="20"/>
          <w:szCs w:val="20"/>
          <w:lang w:val="en-US"/>
        </w:rPr>
        <w:t>ed</w:t>
      </w:r>
      <w:r w:rsidRPr="00AC6C38">
        <w:rPr>
          <w:rFonts w:ascii="Times New Roman" w:hAnsi="Times New Roman"/>
          <w:i/>
          <w:iCs/>
          <w:sz w:val="20"/>
          <w:szCs w:val="20"/>
        </w:rPr>
        <w:t>D</w:t>
      </w:r>
      <w:r w:rsidRPr="00AC6C38">
        <w:rPr>
          <w:rFonts w:ascii="Times New Roman" w:hAnsi="Times New Roman"/>
          <w:i/>
          <w:iCs/>
          <w:sz w:val="20"/>
          <w:szCs w:val="20"/>
          <w:lang w:val="en-US"/>
        </w:rPr>
        <w:t>oorz</w:t>
      </w:r>
      <w:r w:rsidR="00A16A82" w:rsidRPr="00AC6C38">
        <w:rPr>
          <w:rFonts w:ascii="Times New Roman" w:hAnsi="Times New Roman"/>
          <w:sz w:val="20"/>
          <w:szCs w:val="20"/>
          <w:lang w:val="en-US"/>
        </w:rPr>
        <w:t xml:space="preserve"> diharapkan untuk mengganti syarat dan ketentuan yang berlaku pada aplikasinya agar tidak terjadi permasalahan hukum dikemudian hari dan pengalihan tanggung jawab oleh </w:t>
      </w:r>
      <w:r w:rsidR="00973A17" w:rsidRPr="00AC6C38">
        <w:rPr>
          <w:rFonts w:ascii="Times New Roman" w:hAnsi="Times New Roman"/>
          <w:i/>
          <w:iCs/>
          <w:sz w:val="20"/>
          <w:szCs w:val="20"/>
        </w:rPr>
        <w:t>R</w:t>
      </w:r>
      <w:r w:rsidR="00A16A82" w:rsidRPr="00AC6C38">
        <w:rPr>
          <w:rFonts w:ascii="Times New Roman" w:hAnsi="Times New Roman"/>
          <w:i/>
          <w:iCs/>
          <w:sz w:val="20"/>
          <w:szCs w:val="20"/>
          <w:lang w:val="en-US"/>
        </w:rPr>
        <w:t>ed</w:t>
      </w:r>
      <w:r w:rsidR="00973A17" w:rsidRPr="00AC6C38">
        <w:rPr>
          <w:rFonts w:ascii="Times New Roman" w:hAnsi="Times New Roman"/>
          <w:i/>
          <w:iCs/>
          <w:sz w:val="20"/>
          <w:szCs w:val="20"/>
        </w:rPr>
        <w:t>D</w:t>
      </w:r>
      <w:r w:rsidR="00A16A82" w:rsidRPr="00AC6C38">
        <w:rPr>
          <w:rFonts w:ascii="Times New Roman" w:hAnsi="Times New Roman"/>
          <w:i/>
          <w:iCs/>
          <w:sz w:val="20"/>
          <w:szCs w:val="20"/>
          <w:lang w:val="en-US"/>
        </w:rPr>
        <w:t>oorz</w:t>
      </w:r>
      <w:r w:rsidR="00A16A82" w:rsidRPr="00AC6C38">
        <w:rPr>
          <w:rFonts w:ascii="Times New Roman" w:hAnsi="Times New Roman"/>
          <w:sz w:val="20"/>
          <w:szCs w:val="20"/>
          <w:lang w:val="en-US"/>
        </w:rPr>
        <w:t xml:space="preserve"> hendaknya memang benar dijatuhkan hukuman oleh pihak yang berwenang guna memberikan efek jera kepada </w:t>
      </w:r>
      <w:r w:rsidR="00973A17" w:rsidRPr="00AC6C38">
        <w:rPr>
          <w:rFonts w:ascii="Times New Roman" w:hAnsi="Times New Roman"/>
          <w:i/>
          <w:iCs/>
          <w:sz w:val="20"/>
          <w:szCs w:val="20"/>
        </w:rPr>
        <w:t>R</w:t>
      </w:r>
      <w:r w:rsidR="00A16A82" w:rsidRPr="00AC6C38">
        <w:rPr>
          <w:rFonts w:ascii="Times New Roman" w:hAnsi="Times New Roman"/>
          <w:i/>
          <w:iCs/>
          <w:sz w:val="20"/>
          <w:szCs w:val="20"/>
          <w:lang w:val="en-US"/>
        </w:rPr>
        <w:t>ed</w:t>
      </w:r>
      <w:r w:rsidR="00973A17" w:rsidRPr="00AC6C38">
        <w:rPr>
          <w:rFonts w:ascii="Times New Roman" w:hAnsi="Times New Roman"/>
          <w:i/>
          <w:iCs/>
          <w:sz w:val="20"/>
          <w:szCs w:val="20"/>
        </w:rPr>
        <w:t>D</w:t>
      </w:r>
      <w:r w:rsidR="00A16A82" w:rsidRPr="00AC6C38">
        <w:rPr>
          <w:rFonts w:ascii="Times New Roman" w:hAnsi="Times New Roman"/>
          <w:i/>
          <w:iCs/>
          <w:sz w:val="20"/>
          <w:szCs w:val="20"/>
          <w:lang w:val="en-US"/>
        </w:rPr>
        <w:t>oorz</w:t>
      </w:r>
      <w:r w:rsidR="00A16A82" w:rsidRPr="00AC6C38">
        <w:rPr>
          <w:rFonts w:ascii="Times New Roman" w:hAnsi="Times New Roman"/>
          <w:sz w:val="20"/>
          <w:szCs w:val="20"/>
          <w:lang w:val="en-US"/>
        </w:rPr>
        <w:t xml:space="preserve"> agar tetap mematuhi undang-undang perlindungan konsumen serta KUHPer</w:t>
      </w:r>
      <w:r w:rsidR="00973A17" w:rsidRPr="00AC6C38">
        <w:rPr>
          <w:rFonts w:ascii="Times New Roman" w:hAnsi="Times New Roman"/>
          <w:sz w:val="20"/>
          <w:szCs w:val="20"/>
        </w:rPr>
        <w:t>.</w:t>
      </w:r>
    </w:p>
    <w:p w14:paraId="123A3B4B" w14:textId="77777777" w:rsidR="007D5B40" w:rsidRPr="00AC6C38" w:rsidRDefault="007D5B40" w:rsidP="00E50CE0">
      <w:pPr>
        <w:spacing w:line="276" w:lineRule="auto"/>
        <w:jc w:val="both"/>
        <w:rPr>
          <w:b/>
        </w:rPr>
      </w:pPr>
    </w:p>
    <w:p w14:paraId="66E42681" w14:textId="77777777" w:rsidR="00CD4368" w:rsidRPr="00AC6C38" w:rsidRDefault="00FD468D" w:rsidP="00AC6C38">
      <w:pPr>
        <w:jc w:val="both"/>
        <w:rPr>
          <w:b/>
        </w:rPr>
      </w:pPr>
      <w:r w:rsidRPr="00AC6C38">
        <w:rPr>
          <w:b/>
        </w:rPr>
        <w:t>DAFTAR PUSTAKA</w:t>
      </w:r>
    </w:p>
    <w:p w14:paraId="59A6089D" w14:textId="77777777" w:rsidR="00F26687" w:rsidRPr="00AC6C38" w:rsidRDefault="00F26687" w:rsidP="00AC6C38">
      <w:pPr>
        <w:jc w:val="both"/>
        <w:rPr>
          <w:b/>
        </w:rPr>
      </w:pPr>
    </w:p>
    <w:p w14:paraId="51A56280" w14:textId="77777777" w:rsidR="00F26687" w:rsidRPr="00AC6C38" w:rsidRDefault="00F26687" w:rsidP="00AC6C38">
      <w:pPr>
        <w:jc w:val="both"/>
        <w:rPr>
          <w:b/>
          <w:lang w:val="id-ID"/>
        </w:rPr>
      </w:pPr>
      <w:r w:rsidRPr="00AC6C38">
        <w:rPr>
          <w:b/>
          <w:lang w:val="id-ID"/>
        </w:rPr>
        <w:t>Buku</w:t>
      </w:r>
    </w:p>
    <w:p w14:paraId="50C09ED1" w14:textId="77777777" w:rsidR="00F26687" w:rsidRPr="00AC6C38" w:rsidRDefault="00F26687" w:rsidP="00AC6C38">
      <w:pPr>
        <w:jc w:val="both"/>
        <w:rPr>
          <w:b/>
          <w:lang w:val="id-ID"/>
        </w:rPr>
      </w:pPr>
    </w:p>
    <w:p w14:paraId="08999B5C" w14:textId="77777777" w:rsidR="00C636D8" w:rsidRPr="00AC6C38" w:rsidRDefault="00F9250C" w:rsidP="00AC6C38">
      <w:pPr>
        <w:pStyle w:val="Bibliography"/>
        <w:ind w:left="720" w:hanging="720"/>
        <w:jc w:val="both"/>
        <w:rPr>
          <w:noProof/>
        </w:rPr>
      </w:pPr>
      <w:r w:rsidRPr="00AC6C38">
        <w:rPr>
          <w:noProof/>
        </w:rPr>
        <w:t xml:space="preserve">Ali, Z. (2014). </w:t>
      </w:r>
      <w:r w:rsidRPr="00AC6C38">
        <w:rPr>
          <w:i/>
          <w:iCs/>
          <w:noProof/>
        </w:rPr>
        <w:t>Metode Penelitian Hukum .</w:t>
      </w:r>
      <w:r w:rsidRPr="00AC6C38">
        <w:rPr>
          <w:noProof/>
        </w:rPr>
        <w:t xml:space="preserve"> Jakarta: Sinar Grafika.</w:t>
      </w:r>
    </w:p>
    <w:p w14:paraId="07E9CD53" w14:textId="77777777" w:rsidR="00F17C3C" w:rsidRPr="00AC6C38" w:rsidRDefault="00F9250C" w:rsidP="00AC6C38">
      <w:pPr>
        <w:pStyle w:val="Bibliography"/>
        <w:ind w:left="720" w:hanging="720"/>
        <w:jc w:val="both"/>
        <w:rPr>
          <w:noProof/>
        </w:rPr>
      </w:pPr>
      <w:r w:rsidRPr="00AC6C38">
        <w:rPr>
          <w:noProof/>
        </w:rPr>
        <w:lastRenderedPageBreak/>
        <w:t xml:space="preserve">Asikin, A. D. (2004). </w:t>
      </w:r>
      <w:r w:rsidRPr="00AC6C38">
        <w:rPr>
          <w:i/>
          <w:iCs/>
          <w:noProof/>
        </w:rPr>
        <w:t>Pengantar Metode Penelitian Hukum .</w:t>
      </w:r>
      <w:r w:rsidRPr="00AC6C38">
        <w:rPr>
          <w:noProof/>
        </w:rPr>
        <w:t xml:space="preserve"> Jakarta: Raja Grafindo Persada.</w:t>
      </w:r>
    </w:p>
    <w:p w14:paraId="2F76A5C5" w14:textId="77777777" w:rsidR="00F9250C" w:rsidRPr="00AC6C38" w:rsidRDefault="00F9250C" w:rsidP="00AC6C38">
      <w:pPr>
        <w:widowControl w:val="0"/>
        <w:autoSpaceDE w:val="0"/>
        <w:autoSpaceDN w:val="0"/>
        <w:adjustRightInd w:val="0"/>
        <w:ind w:left="720" w:hanging="720"/>
        <w:jc w:val="both"/>
        <w:rPr>
          <w:noProof/>
        </w:rPr>
      </w:pPr>
      <w:r w:rsidRPr="00AC6C38">
        <w:rPr>
          <w:noProof/>
        </w:rPr>
        <w:t xml:space="preserve">Diantha, I. M. P. (2016). </w:t>
      </w:r>
      <w:r w:rsidRPr="00AC6C38">
        <w:rPr>
          <w:i/>
          <w:iCs/>
          <w:noProof/>
        </w:rPr>
        <w:t>Metodologi Penelitian Hukum Normatif Dalam Justifikasi Teori Hukum</w:t>
      </w:r>
      <w:r w:rsidRPr="00AC6C38">
        <w:rPr>
          <w:noProof/>
        </w:rPr>
        <w:t>. Prenadamedia Group.</w:t>
      </w:r>
    </w:p>
    <w:p w14:paraId="75C24E61" w14:textId="77777777" w:rsidR="00F9250C" w:rsidRPr="00AC6C38" w:rsidRDefault="00F9250C" w:rsidP="00AC6C38">
      <w:pPr>
        <w:widowControl w:val="0"/>
        <w:autoSpaceDE w:val="0"/>
        <w:autoSpaceDN w:val="0"/>
        <w:adjustRightInd w:val="0"/>
        <w:ind w:left="720" w:hanging="720"/>
        <w:jc w:val="both"/>
        <w:rPr>
          <w:noProof/>
        </w:rPr>
      </w:pPr>
      <w:r w:rsidRPr="00AC6C38">
        <w:rPr>
          <w:noProof/>
        </w:rPr>
        <w:t xml:space="preserve">Fajar, M., &amp; Achmad, Y. (2017). </w:t>
      </w:r>
      <w:r w:rsidRPr="00AC6C38">
        <w:rPr>
          <w:i/>
          <w:iCs/>
          <w:noProof/>
        </w:rPr>
        <w:t>Dualisme Penelitian Hukum Normatif Dan Empiris</w:t>
      </w:r>
      <w:r w:rsidRPr="00AC6C38">
        <w:rPr>
          <w:noProof/>
        </w:rPr>
        <w:t xml:space="preserve"> (Cetakan Iv). Pustaka Pelajar.</w:t>
      </w:r>
    </w:p>
    <w:p w14:paraId="3A45DAF2" w14:textId="77777777" w:rsidR="00F9250C" w:rsidRPr="00AC6C38" w:rsidRDefault="00F9250C" w:rsidP="00AC6C38">
      <w:pPr>
        <w:widowControl w:val="0"/>
        <w:autoSpaceDE w:val="0"/>
        <w:autoSpaceDN w:val="0"/>
        <w:adjustRightInd w:val="0"/>
        <w:ind w:left="720" w:hanging="720"/>
        <w:jc w:val="both"/>
        <w:rPr>
          <w:noProof/>
        </w:rPr>
      </w:pPr>
      <w:r w:rsidRPr="00AC6C38">
        <w:rPr>
          <w:noProof/>
        </w:rPr>
        <w:t xml:space="preserve">Marzuki, P. M. (2016). </w:t>
      </w:r>
      <w:r w:rsidRPr="00AC6C38">
        <w:rPr>
          <w:i/>
          <w:iCs/>
          <w:noProof/>
        </w:rPr>
        <w:t>Penelitian Hukum Edisi Revisi</w:t>
      </w:r>
      <w:r w:rsidRPr="00AC6C38">
        <w:rPr>
          <w:noProof/>
        </w:rPr>
        <w:t>. Prenadamedia Group.</w:t>
      </w:r>
    </w:p>
    <w:p w14:paraId="24ED4B8F" w14:textId="77777777" w:rsidR="00F9250C" w:rsidRPr="00AC6C38" w:rsidRDefault="00F9250C" w:rsidP="00AC6C38">
      <w:pPr>
        <w:widowControl w:val="0"/>
        <w:autoSpaceDE w:val="0"/>
        <w:autoSpaceDN w:val="0"/>
        <w:adjustRightInd w:val="0"/>
        <w:ind w:left="720" w:hanging="720"/>
        <w:jc w:val="both"/>
        <w:rPr>
          <w:noProof/>
        </w:rPr>
      </w:pPr>
      <w:r w:rsidRPr="00AC6C38">
        <w:rPr>
          <w:noProof/>
        </w:rPr>
        <w:t xml:space="preserve">Muhaimin, M. (2004). </w:t>
      </w:r>
      <w:r w:rsidRPr="00AC6C38">
        <w:rPr>
          <w:i/>
          <w:iCs/>
          <w:noProof/>
        </w:rPr>
        <w:t>Perjanjian Baku (Standart Contract) Dalam Kegiatan Ekonomi</w:t>
      </w:r>
      <w:r w:rsidRPr="00AC6C38">
        <w:rPr>
          <w:noProof/>
        </w:rPr>
        <w:t>.</w:t>
      </w:r>
    </w:p>
    <w:p w14:paraId="3E787807" w14:textId="77777777" w:rsidR="00F9250C" w:rsidRPr="00AC6C38" w:rsidRDefault="00F9250C" w:rsidP="00AC6C38">
      <w:pPr>
        <w:ind w:left="720" w:hanging="720"/>
        <w:jc w:val="both"/>
      </w:pPr>
      <w:r w:rsidRPr="00AC6C38">
        <w:t xml:space="preserve">Philipus M.H (1987). </w:t>
      </w:r>
      <w:r w:rsidRPr="00AC6C38">
        <w:rPr>
          <w:i/>
        </w:rPr>
        <w:t>Perlindungan Hukum Bagi Rakyat Indonesia</w:t>
      </w:r>
      <w:r w:rsidRPr="00AC6C38">
        <w:t xml:space="preserve">. Surabaya: Bina Ilmu. </w:t>
      </w:r>
    </w:p>
    <w:p w14:paraId="2EA17E89" w14:textId="77777777" w:rsidR="00810D83" w:rsidRPr="00AC6C38" w:rsidRDefault="00F9250C" w:rsidP="00AC6C38">
      <w:pPr>
        <w:pStyle w:val="Bibliography"/>
        <w:ind w:left="720" w:hanging="720"/>
        <w:jc w:val="both"/>
        <w:rPr>
          <w:noProof/>
        </w:rPr>
      </w:pPr>
      <w:r w:rsidRPr="00AC6C38">
        <w:rPr>
          <w:noProof/>
        </w:rPr>
        <w:t xml:space="preserve">Tobing, D. (2007). </w:t>
      </w:r>
      <w:r w:rsidRPr="00AC6C38">
        <w:rPr>
          <w:i/>
          <w:iCs/>
          <w:noProof/>
        </w:rPr>
        <w:t>Hukum Perlindungan Konsumen.</w:t>
      </w:r>
      <w:r w:rsidRPr="00AC6C38">
        <w:rPr>
          <w:noProof/>
        </w:rPr>
        <w:t xml:space="preserve"> Jakarta: Timpani Agung.</w:t>
      </w:r>
    </w:p>
    <w:p w14:paraId="04800705" w14:textId="77777777" w:rsidR="00810D83" w:rsidRPr="00AC6C38" w:rsidRDefault="00F9250C" w:rsidP="00AC6C38">
      <w:pPr>
        <w:pStyle w:val="Bibliography"/>
        <w:ind w:left="720" w:hanging="720"/>
        <w:jc w:val="both"/>
        <w:rPr>
          <w:noProof/>
        </w:rPr>
      </w:pPr>
      <w:r w:rsidRPr="00AC6C38">
        <w:rPr>
          <w:noProof/>
        </w:rPr>
        <w:t xml:space="preserve">Yodo, A. M. (2004). </w:t>
      </w:r>
      <w:r w:rsidRPr="00AC6C38">
        <w:rPr>
          <w:i/>
          <w:iCs/>
          <w:noProof/>
        </w:rPr>
        <w:t>Hukum Perlindungan Konsumen .</w:t>
      </w:r>
      <w:r w:rsidRPr="00AC6C38">
        <w:rPr>
          <w:noProof/>
        </w:rPr>
        <w:t xml:space="preserve"> Jakarta: Raja Grafindo Persada.</w:t>
      </w:r>
    </w:p>
    <w:p w14:paraId="3E99F59A" w14:textId="77777777" w:rsidR="00810D83" w:rsidRPr="00AC6C38" w:rsidRDefault="00810D83" w:rsidP="00AC6C38">
      <w:pPr>
        <w:ind w:left="720" w:hanging="720"/>
        <w:jc w:val="both"/>
      </w:pPr>
    </w:p>
    <w:p w14:paraId="336FE3EC" w14:textId="77777777" w:rsidR="004F0292" w:rsidRPr="00AC6C38" w:rsidRDefault="00F9250C" w:rsidP="00AC6C38">
      <w:pPr>
        <w:ind w:left="720" w:hanging="720"/>
        <w:jc w:val="both"/>
        <w:rPr>
          <w:b/>
          <w:bCs/>
          <w:lang w:val="id-ID"/>
        </w:rPr>
      </w:pPr>
      <w:r w:rsidRPr="00AC6C38">
        <w:rPr>
          <w:b/>
          <w:bCs/>
          <w:lang w:val="id-ID"/>
        </w:rPr>
        <w:t>Jurnal</w:t>
      </w:r>
    </w:p>
    <w:p w14:paraId="66879971" w14:textId="77777777" w:rsidR="00F9250C" w:rsidRPr="00AC6C38" w:rsidRDefault="00F9250C" w:rsidP="00AC6C38">
      <w:pPr>
        <w:ind w:left="720" w:hanging="720"/>
        <w:jc w:val="both"/>
        <w:rPr>
          <w:b/>
          <w:bCs/>
          <w:lang w:val="id-ID"/>
        </w:rPr>
      </w:pPr>
    </w:p>
    <w:p w14:paraId="7B16738A" w14:textId="77777777" w:rsidR="00F9250C" w:rsidRPr="00AC6C38" w:rsidRDefault="00F9250C" w:rsidP="00AC6C38">
      <w:pPr>
        <w:ind w:left="720" w:hanging="720"/>
        <w:jc w:val="both"/>
        <w:rPr>
          <w:b/>
          <w:bCs/>
          <w:lang w:val="id-ID"/>
        </w:rPr>
      </w:pPr>
      <w:r w:rsidRPr="00AC6C38">
        <w:rPr>
          <w:noProof/>
        </w:rPr>
        <w:t xml:space="preserve">Almaida, Z. (2021). Perlindungan Hukum Preventif Dan Represif Bagi Pengguna Uang Elektronik Dalam Melakukan Transaksi Tol Nontunai. </w:t>
      </w:r>
      <w:r w:rsidRPr="00AC6C38">
        <w:rPr>
          <w:i/>
          <w:iCs/>
          <w:noProof/>
        </w:rPr>
        <w:t>Privat Law</w:t>
      </w:r>
      <w:r w:rsidRPr="00AC6C38">
        <w:rPr>
          <w:noProof/>
        </w:rPr>
        <w:t>,</w:t>
      </w:r>
    </w:p>
    <w:p w14:paraId="275B8020" w14:textId="77777777" w:rsidR="00810D83" w:rsidRPr="00AC6C38" w:rsidRDefault="00F9250C" w:rsidP="00AC6C38">
      <w:pPr>
        <w:pStyle w:val="Bibliography"/>
        <w:ind w:left="720" w:hanging="720"/>
        <w:jc w:val="both"/>
        <w:rPr>
          <w:noProof/>
        </w:rPr>
      </w:pPr>
      <w:r w:rsidRPr="00AC6C38">
        <w:rPr>
          <w:noProof/>
        </w:rPr>
        <w:t xml:space="preserve">Antari, K. W. (2019). Tinjauan Yuridis Mengenai Antynomy Normen Antara Undang-Undang Nomor 5 Tahun 1960 Tentang Peraturan Dasar-Dasar Pokok Agraria Dengan Undang-Undang Nomor 25 Tahun 2007 Tentang Penanaman Modal Terkait Jangka Waktu Perolehan Hak Atas Tanah . </w:t>
      </w:r>
      <w:r w:rsidRPr="00AC6C38">
        <w:rPr>
          <w:i/>
          <w:iCs/>
          <w:noProof/>
        </w:rPr>
        <w:t>E-Journal Komunitas Yustisia Universitas Pendidikan Ganesha, Vol 2 No 2</w:t>
      </w:r>
      <w:r w:rsidRPr="00AC6C38">
        <w:rPr>
          <w:noProof/>
        </w:rPr>
        <w:t>, 44.</w:t>
      </w:r>
    </w:p>
    <w:p w14:paraId="7C4F235D" w14:textId="74DF998D" w:rsidR="00F9250C" w:rsidRPr="00AC6C38" w:rsidRDefault="00F9250C" w:rsidP="00AC6C38">
      <w:pPr>
        <w:widowControl w:val="0"/>
        <w:autoSpaceDE w:val="0"/>
        <w:autoSpaceDN w:val="0"/>
        <w:adjustRightInd w:val="0"/>
        <w:ind w:left="720" w:hanging="720"/>
        <w:jc w:val="both"/>
        <w:rPr>
          <w:noProof/>
        </w:rPr>
      </w:pPr>
      <w:r w:rsidRPr="00AC6C38">
        <w:rPr>
          <w:noProof/>
        </w:rPr>
        <w:t xml:space="preserve">Panjaitan, H. (2018). Pemberlakuan Perjanjian Baku Dan Perlindungan Terhadap Konsumen. </w:t>
      </w:r>
      <w:r w:rsidRPr="00AC6C38">
        <w:rPr>
          <w:i/>
          <w:iCs/>
          <w:noProof/>
        </w:rPr>
        <w:t>To-Ra</w:t>
      </w:r>
      <w:r w:rsidRPr="00AC6C38">
        <w:rPr>
          <w:noProof/>
        </w:rPr>
        <w:t xml:space="preserve">, </w:t>
      </w:r>
      <w:r w:rsidRPr="00AC6C38">
        <w:rPr>
          <w:i/>
          <w:iCs/>
          <w:noProof/>
        </w:rPr>
        <w:t>4</w:t>
      </w:r>
      <w:r w:rsidRPr="00AC6C38">
        <w:rPr>
          <w:noProof/>
        </w:rPr>
        <w:t>(1), 1</w:t>
      </w:r>
    </w:p>
    <w:p w14:paraId="030C9B87" w14:textId="7DF29B6A" w:rsidR="00F9250C" w:rsidRPr="00AC6C38" w:rsidRDefault="00F9250C" w:rsidP="00AC6C38">
      <w:pPr>
        <w:widowControl w:val="0"/>
        <w:autoSpaceDE w:val="0"/>
        <w:autoSpaceDN w:val="0"/>
        <w:adjustRightInd w:val="0"/>
        <w:ind w:left="720" w:hanging="720"/>
        <w:jc w:val="both"/>
        <w:rPr>
          <w:noProof/>
        </w:rPr>
      </w:pPr>
      <w:r w:rsidRPr="00AC6C38">
        <w:rPr>
          <w:noProof/>
        </w:rPr>
        <w:t xml:space="preserve">Prasnowo, A. D., &amp; Badriyah, S. M. (2019). Implementasi Asas Keseimbangan Bagi Para Pihak Dalam Perjanjian Baku. </w:t>
      </w:r>
      <w:r w:rsidRPr="00AC6C38">
        <w:rPr>
          <w:i/>
          <w:iCs/>
          <w:noProof/>
        </w:rPr>
        <w:t>Jurnal Magister Hukum Udayana (Udayana Master Law Journal)</w:t>
      </w:r>
      <w:r w:rsidRPr="00AC6C38">
        <w:rPr>
          <w:noProof/>
        </w:rPr>
        <w:t xml:space="preserve">, </w:t>
      </w:r>
      <w:r w:rsidRPr="00AC6C38">
        <w:rPr>
          <w:i/>
          <w:iCs/>
          <w:noProof/>
        </w:rPr>
        <w:t>8</w:t>
      </w:r>
      <w:r w:rsidRPr="00AC6C38">
        <w:rPr>
          <w:noProof/>
        </w:rPr>
        <w:t xml:space="preserve">(1), </w:t>
      </w:r>
    </w:p>
    <w:p w14:paraId="5F412F89" w14:textId="688DB3AF" w:rsidR="005504CD" w:rsidRPr="00AC6C38" w:rsidRDefault="005504CD" w:rsidP="00AC6C38">
      <w:pPr>
        <w:widowControl w:val="0"/>
        <w:autoSpaceDE w:val="0"/>
        <w:autoSpaceDN w:val="0"/>
        <w:adjustRightInd w:val="0"/>
        <w:ind w:left="720" w:hanging="720"/>
        <w:jc w:val="both"/>
        <w:rPr>
          <w:noProof/>
        </w:rPr>
      </w:pPr>
      <w:r w:rsidRPr="00AC6C38">
        <w:rPr>
          <w:noProof/>
        </w:rPr>
        <w:t xml:space="preserve">Winarni, L. N. (2015). Asas Itikad Baik Sebagai Upaya Perlindungan Konsumen Dalam Perjanjian Pembiayaan. </w:t>
      </w:r>
      <w:r w:rsidRPr="00AC6C38">
        <w:rPr>
          <w:i/>
          <w:iCs/>
          <w:noProof/>
        </w:rPr>
        <w:t>Dih: Jurnal Ilmu Hukum</w:t>
      </w:r>
      <w:r w:rsidRPr="00AC6C38">
        <w:rPr>
          <w:noProof/>
        </w:rPr>
        <w:t xml:space="preserve">, </w:t>
      </w:r>
      <w:r w:rsidRPr="00AC6C38">
        <w:rPr>
          <w:i/>
          <w:iCs/>
          <w:noProof/>
        </w:rPr>
        <w:t>11</w:t>
      </w:r>
      <w:r w:rsidRPr="00AC6C38">
        <w:rPr>
          <w:noProof/>
        </w:rPr>
        <w:t xml:space="preserve">(21), 1–12. </w:t>
      </w:r>
    </w:p>
    <w:p w14:paraId="15B73D86" w14:textId="77777777" w:rsidR="00F9250C" w:rsidRPr="00AC6C38" w:rsidRDefault="00F9250C" w:rsidP="00AC6C38">
      <w:pPr>
        <w:widowControl w:val="0"/>
        <w:autoSpaceDE w:val="0"/>
        <w:autoSpaceDN w:val="0"/>
        <w:adjustRightInd w:val="0"/>
        <w:ind w:left="720" w:hanging="720"/>
        <w:jc w:val="both"/>
        <w:rPr>
          <w:noProof/>
        </w:rPr>
      </w:pPr>
      <w:r w:rsidRPr="00AC6C38">
        <w:rPr>
          <w:noProof/>
        </w:rPr>
        <w:t xml:space="preserve">Zakiyah. (2017). Klausula Eksonerasi Dalam Perspektif Perlindungan Konsumen. </w:t>
      </w:r>
      <w:r w:rsidRPr="00AC6C38">
        <w:rPr>
          <w:i/>
          <w:iCs/>
          <w:noProof/>
        </w:rPr>
        <w:t>Al Adl</w:t>
      </w:r>
      <w:r w:rsidRPr="00AC6C38">
        <w:rPr>
          <w:noProof/>
        </w:rPr>
        <w:t xml:space="preserve">, </w:t>
      </w:r>
      <w:r w:rsidRPr="00AC6C38">
        <w:rPr>
          <w:i/>
          <w:iCs/>
          <w:noProof/>
        </w:rPr>
        <w:t>Ix</w:t>
      </w:r>
      <w:r w:rsidRPr="00AC6C38">
        <w:rPr>
          <w:noProof/>
        </w:rPr>
        <w:t>(3), 435–451.</w:t>
      </w:r>
    </w:p>
    <w:p w14:paraId="2A5A224E" w14:textId="5F0171EE" w:rsidR="00F17C3C" w:rsidRPr="00AC6C38" w:rsidRDefault="00F17C3C" w:rsidP="00AC6C38">
      <w:pPr>
        <w:ind w:left="720" w:hanging="720"/>
        <w:jc w:val="both"/>
      </w:pPr>
    </w:p>
    <w:p w14:paraId="557C8E74" w14:textId="77777777" w:rsidR="007D5B40" w:rsidRPr="00AC6C38" w:rsidRDefault="007D5B40" w:rsidP="00AC6C38">
      <w:pPr>
        <w:ind w:left="720" w:hanging="720"/>
        <w:jc w:val="both"/>
      </w:pPr>
    </w:p>
    <w:p w14:paraId="5EE2CF7E" w14:textId="77777777" w:rsidR="004F0292" w:rsidRPr="00AC6C38" w:rsidRDefault="00F9250C" w:rsidP="00AC6C38">
      <w:pPr>
        <w:ind w:left="720" w:hanging="720"/>
        <w:jc w:val="both"/>
        <w:rPr>
          <w:b/>
          <w:bCs/>
          <w:lang w:val="id-ID"/>
        </w:rPr>
      </w:pPr>
      <w:r w:rsidRPr="00AC6C38">
        <w:rPr>
          <w:b/>
          <w:bCs/>
          <w:lang w:val="id-ID"/>
        </w:rPr>
        <w:t>Peraturan Perundang-Undangan</w:t>
      </w:r>
    </w:p>
    <w:p w14:paraId="3E3F07B7" w14:textId="77777777" w:rsidR="00810D83" w:rsidRPr="00AC6C38" w:rsidRDefault="00810D83" w:rsidP="00AC6C38">
      <w:pPr>
        <w:ind w:left="720" w:hanging="720"/>
        <w:jc w:val="both"/>
        <w:rPr>
          <w:b/>
          <w:bCs/>
          <w:lang w:val="id-ID"/>
        </w:rPr>
      </w:pPr>
    </w:p>
    <w:p w14:paraId="1317C363" w14:textId="7DDBE9AA" w:rsidR="00810D83" w:rsidRPr="00AC6C38" w:rsidRDefault="00F9250C" w:rsidP="00AC6C38">
      <w:pPr>
        <w:ind w:left="720" w:hanging="720"/>
        <w:jc w:val="both"/>
        <w:rPr>
          <w:bCs/>
          <w:lang w:val="id-ID"/>
        </w:rPr>
      </w:pPr>
      <w:r w:rsidRPr="00AC6C38">
        <w:rPr>
          <w:bCs/>
          <w:lang w:val="id-ID"/>
        </w:rPr>
        <w:t>Kitab Undang-Undang Hukum Perdata</w:t>
      </w:r>
    </w:p>
    <w:p w14:paraId="78A02C38" w14:textId="74BDE1BC" w:rsidR="005504CD" w:rsidRPr="00AC6C38" w:rsidRDefault="005504CD" w:rsidP="00AC6C38">
      <w:pPr>
        <w:ind w:left="720" w:hanging="720"/>
        <w:jc w:val="both"/>
        <w:rPr>
          <w:bCs/>
          <w:lang w:val="id-ID"/>
        </w:rPr>
      </w:pPr>
      <w:r w:rsidRPr="00AC6C38">
        <w:rPr>
          <w:bCs/>
          <w:lang w:val="id-ID"/>
        </w:rPr>
        <w:t>Undang-Undang Nomor 8 Tahun 1999 tentang Perlindungan Konsumen</w:t>
      </w:r>
    </w:p>
    <w:p w14:paraId="3389D964" w14:textId="37DD73E2" w:rsidR="005504CD" w:rsidRPr="00AC6C38" w:rsidRDefault="005504CD" w:rsidP="00AC6C38">
      <w:pPr>
        <w:ind w:left="720" w:hanging="720"/>
        <w:jc w:val="both"/>
        <w:rPr>
          <w:bCs/>
          <w:lang w:val="id-ID"/>
        </w:rPr>
      </w:pPr>
      <w:r w:rsidRPr="00AC6C38">
        <w:t>Undang-Undang Nomor 11 Tahun 2008 tentang Informasi dan Transaksi Elektronik</w:t>
      </w:r>
    </w:p>
    <w:p w14:paraId="11AF6085" w14:textId="212D3A23" w:rsidR="00810D83" w:rsidRPr="00AC6C38" w:rsidRDefault="00F9250C" w:rsidP="00AC6C38">
      <w:pPr>
        <w:ind w:left="720" w:hanging="720"/>
        <w:jc w:val="both"/>
        <w:rPr>
          <w:bCs/>
          <w:lang w:val="id-ID"/>
        </w:rPr>
      </w:pPr>
      <w:r w:rsidRPr="00AC6C38">
        <w:rPr>
          <w:bCs/>
          <w:lang w:val="id-ID"/>
        </w:rPr>
        <w:t xml:space="preserve">Undang-Undang Nomor 10 Tahun 2009 </w:t>
      </w:r>
      <w:r w:rsidR="00973A17" w:rsidRPr="00AC6C38">
        <w:rPr>
          <w:bCs/>
          <w:lang w:val="id-ID"/>
        </w:rPr>
        <w:t>t</w:t>
      </w:r>
      <w:r w:rsidRPr="00AC6C38">
        <w:rPr>
          <w:bCs/>
          <w:lang w:val="id-ID"/>
        </w:rPr>
        <w:t xml:space="preserve">entang </w:t>
      </w:r>
      <w:bookmarkStart w:id="4" w:name="_GoBack"/>
      <w:bookmarkEnd w:id="4"/>
      <w:r w:rsidRPr="00AC6C38">
        <w:rPr>
          <w:bCs/>
          <w:lang w:val="id-ID"/>
        </w:rPr>
        <w:t>Kepariwisataan</w:t>
      </w:r>
    </w:p>
    <w:p w14:paraId="6C95845A" w14:textId="6ECA00F0" w:rsidR="005504CD" w:rsidRPr="00AC6C38" w:rsidRDefault="00973A17" w:rsidP="00AC6C38">
      <w:pPr>
        <w:ind w:left="720" w:hanging="720"/>
        <w:jc w:val="both"/>
      </w:pPr>
      <w:r w:rsidRPr="00AC6C38">
        <w:t>Undang-</w:t>
      </w:r>
      <w:r w:rsidRPr="00AC6C38">
        <w:rPr>
          <w:lang w:val="id-ID"/>
        </w:rPr>
        <w:t>U</w:t>
      </w:r>
      <w:r w:rsidRPr="00AC6C38">
        <w:t>ndang Nomor 7 Tahun 2014 tentang Perdagangan</w:t>
      </w:r>
    </w:p>
    <w:p w14:paraId="7E61B602" w14:textId="77777777" w:rsidR="00F17C3C" w:rsidRPr="00AC6C38" w:rsidRDefault="00F17C3C" w:rsidP="00AC6C38">
      <w:pPr>
        <w:ind w:left="720" w:hanging="720"/>
        <w:jc w:val="both"/>
      </w:pPr>
    </w:p>
    <w:p w14:paraId="05905953" w14:textId="69029AAF" w:rsidR="00F17C3C" w:rsidRPr="00AC6C38" w:rsidRDefault="00973A17" w:rsidP="00AC6C38">
      <w:pPr>
        <w:ind w:left="720" w:hanging="720"/>
        <w:jc w:val="both"/>
        <w:rPr>
          <w:b/>
          <w:bCs/>
          <w:lang w:val="id-ID"/>
        </w:rPr>
      </w:pPr>
      <w:r w:rsidRPr="00AC6C38">
        <w:rPr>
          <w:b/>
          <w:bCs/>
          <w:lang w:val="id-ID"/>
        </w:rPr>
        <w:t>Website</w:t>
      </w:r>
    </w:p>
    <w:p w14:paraId="0DBF7C87" w14:textId="77777777" w:rsidR="00F17C3C" w:rsidRPr="00AC6C38" w:rsidRDefault="00F17C3C" w:rsidP="00AC6C38">
      <w:pPr>
        <w:ind w:left="720" w:hanging="720"/>
        <w:jc w:val="both"/>
        <w:rPr>
          <w:b/>
          <w:bCs/>
          <w:lang w:val="id-ID"/>
        </w:rPr>
      </w:pPr>
    </w:p>
    <w:p w14:paraId="06190370" w14:textId="77777777" w:rsidR="00B96A5A" w:rsidRPr="00AC6C38" w:rsidRDefault="00F9250C" w:rsidP="00AC6C38">
      <w:pPr>
        <w:widowControl w:val="0"/>
        <w:autoSpaceDE w:val="0"/>
        <w:autoSpaceDN w:val="0"/>
        <w:adjustRightInd w:val="0"/>
        <w:ind w:left="720" w:hanging="720"/>
        <w:jc w:val="both"/>
        <w:rPr>
          <w:noProof/>
        </w:rPr>
      </w:pPr>
      <w:r w:rsidRPr="00AC6C38">
        <w:rPr>
          <w:noProof/>
        </w:rPr>
        <w:t xml:space="preserve">Burhan,  Fahmi Ahmad. (N.D.). </w:t>
      </w:r>
      <w:r w:rsidRPr="00AC6C38">
        <w:rPr>
          <w:i/>
          <w:iCs/>
          <w:noProof/>
        </w:rPr>
        <w:t>Traveloka Dan Tiket.Com Pacu Transaksi Akhir Tahun</w:t>
      </w:r>
      <w:r w:rsidRPr="00AC6C38">
        <w:rPr>
          <w:noProof/>
        </w:rPr>
        <w:t>. Https://Katadata.Co.Id/Desysetyowati/Digital/5fa2d9deeff33/Traveloka-Dan-Tiketcom-Pacu-Transaksi-Pada-Akhir-Tahun</w:t>
      </w:r>
    </w:p>
    <w:p w14:paraId="08A5A29A" w14:textId="77777777" w:rsidR="00C636D8" w:rsidRPr="00AC6C38" w:rsidRDefault="00F9250C" w:rsidP="00AC6C38">
      <w:pPr>
        <w:pStyle w:val="Bibliography"/>
        <w:ind w:left="720" w:hanging="720"/>
        <w:jc w:val="both"/>
        <w:rPr>
          <w:noProof/>
        </w:rPr>
      </w:pPr>
      <w:r w:rsidRPr="00AC6C38">
        <w:rPr>
          <w:noProof/>
        </w:rPr>
        <w:t xml:space="preserve">Dhikshita, I. B. (2021, Juni 29). </w:t>
      </w:r>
      <w:r w:rsidRPr="00AC6C38">
        <w:rPr>
          <w:i/>
          <w:iCs/>
          <w:noProof/>
        </w:rPr>
        <w:t>Advokat Konstitusi</w:t>
      </w:r>
      <w:r w:rsidRPr="00AC6C38">
        <w:rPr>
          <w:noProof/>
        </w:rPr>
        <w:t xml:space="preserve">. Retrieved From Memecahkan Konflik Norma Dengan Asas Derogasi : </w:t>
      </w:r>
      <w:hyperlink r:id="rId15" w:anchor=":~:Text=Dalam%20bukunya%20%E2%80%9dallgemeine%20der%20Normen,Kompatibel%2Ftidak%20cocok%20sehingga%20mematuhi" w:history="1">
        <w:r w:rsidRPr="00AC6C38">
          <w:rPr>
            <w:rStyle w:val="Hyperlink"/>
            <w:noProof/>
            <w:color w:val="auto"/>
          </w:rPr>
          <w:t>Https://Advokatkonstitusi.Com/Memecahkan-Konflik-Norma-Degan-Asas-Derogasi/#:~:Text=Dalam%20bukunya%20%E2%80%9dallgemeine%20der%20normen,Kompatibel%2ftidak%20cocok%20sehingga%20mematuhi</w:t>
        </w:r>
      </w:hyperlink>
    </w:p>
    <w:p w14:paraId="555BA94A" w14:textId="77777777" w:rsidR="00C636D8" w:rsidRPr="00AC6C38" w:rsidRDefault="00F9250C" w:rsidP="00AC6C38">
      <w:pPr>
        <w:pStyle w:val="Bibliography"/>
        <w:ind w:left="720" w:hanging="720"/>
        <w:jc w:val="both"/>
        <w:rPr>
          <w:noProof/>
        </w:rPr>
      </w:pPr>
      <w:r w:rsidRPr="00AC6C38">
        <w:rPr>
          <w:i/>
          <w:iCs/>
          <w:noProof/>
        </w:rPr>
        <w:t>Reddoorz</w:t>
      </w:r>
      <w:r w:rsidRPr="00AC6C38">
        <w:rPr>
          <w:noProof/>
        </w:rPr>
        <w:t xml:space="preserve">. (N.D.). Retrieved From Terms And Conditions: </w:t>
      </w:r>
      <w:hyperlink r:id="rId16" w:history="1">
        <w:r w:rsidRPr="00AC6C38">
          <w:rPr>
            <w:rStyle w:val="Hyperlink"/>
            <w:noProof/>
            <w:color w:val="auto"/>
          </w:rPr>
          <w:t>Https://Www.Reddoorz.Com/Id-Id/Terms</w:t>
        </w:r>
      </w:hyperlink>
    </w:p>
    <w:p w14:paraId="387A5054" w14:textId="77777777" w:rsidR="00810D83" w:rsidRPr="00AC6C38" w:rsidRDefault="00810D83" w:rsidP="00E50CE0">
      <w:pPr>
        <w:spacing w:line="276" w:lineRule="auto"/>
      </w:pPr>
    </w:p>
    <w:p w14:paraId="47687531" w14:textId="77777777" w:rsidR="00810D83" w:rsidRPr="00AC6C38" w:rsidRDefault="00810D83" w:rsidP="00E50CE0">
      <w:pPr>
        <w:spacing w:line="276" w:lineRule="auto"/>
      </w:pPr>
    </w:p>
    <w:sectPr w:rsidR="00810D83" w:rsidRPr="00AC6C38" w:rsidSect="00CC24A8">
      <w:type w:val="continuous"/>
      <w:pgSz w:w="11909" w:h="16834" w:code="9"/>
      <w:pgMar w:top="1418" w:right="1134" w:bottom="1418" w:left="1134" w:header="425" w:footer="720" w:gutter="0"/>
      <w:cols w:num="2" w:space="36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03CB0B" w16cid:durableId="266BBEF1"/>
  <w16cid:commentId w16cid:paraId="61F4464C" w16cid:durableId="266BBEF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6E936" w14:textId="77777777" w:rsidR="0043399B" w:rsidRDefault="0043399B">
      <w:r>
        <w:separator/>
      </w:r>
    </w:p>
  </w:endnote>
  <w:endnote w:type="continuationSeparator" w:id="0">
    <w:p w14:paraId="63EA509A" w14:textId="77777777" w:rsidR="0043399B" w:rsidRDefault="0043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86806" w14:textId="77777777" w:rsidR="00CD4368" w:rsidRDefault="00FD468D">
    <w:pPr>
      <w:pStyle w:val="Footer"/>
    </w:pPr>
    <w:r>
      <w:fldChar w:fldCharType="begin"/>
    </w:r>
    <w:r>
      <w:instrText xml:space="preserve"> PAGE   \* MERGEFORMAT </w:instrText>
    </w:r>
    <w:r>
      <w:fldChar w:fldCharType="separate"/>
    </w:r>
    <w:r>
      <w:rPr>
        <w:noProof/>
      </w:rPr>
      <w:t>4</w:t>
    </w:r>
    <w:r>
      <w:fldChar w:fldCharType="end"/>
    </w:r>
  </w:p>
  <w:p w14:paraId="346B68ED" w14:textId="77777777" w:rsidR="00CD4368" w:rsidRDefault="00CD43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3612D" w14:textId="6214F7DD" w:rsidR="00CD4368" w:rsidRDefault="00FD468D">
    <w:pPr>
      <w:pStyle w:val="Footer"/>
    </w:pPr>
    <w:r>
      <w:fldChar w:fldCharType="begin"/>
    </w:r>
    <w:r>
      <w:instrText xml:space="preserve"> PAGE   \* MERGEFORMAT </w:instrText>
    </w:r>
    <w:r>
      <w:fldChar w:fldCharType="separate"/>
    </w:r>
    <w:r w:rsidR="00AC6C38">
      <w:rPr>
        <w:noProof/>
      </w:rPr>
      <w:t>13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EC24D" w14:textId="77777777" w:rsidR="0043399B" w:rsidRDefault="0043399B">
      <w:r>
        <w:separator/>
      </w:r>
    </w:p>
  </w:footnote>
  <w:footnote w:type="continuationSeparator" w:id="0">
    <w:p w14:paraId="131FB51C" w14:textId="77777777" w:rsidR="0043399B" w:rsidRDefault="004339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09E6A" w14:textId="77777777" w:rsidR="00CD4368" w:rsidRDefault="00ED706E">
    <w:pPr>
      <w:pStyle w:val="Header"/>
      <w:rPr>
        <w:lang w:val="id-ID"/>
      </w:rPr>
    </w:pPr>
    <w:r>
      <w:rPr>
        <w:noProof/>
        <w:lang w:val="id-ID" w:eastAsia="id-ID"/>
      </w:rPr>
      <w:drawing>
        <wp:anchor distT="0" distB="0" distL="0" distR="0" simplePos="0" relativeHeight="251658752" behindDoc="1" locked="0" layoutInCell="0" allowOverlap="1" wp14:anchorId="76D56D99" wp14:editId="74DA6B5C">
          <wp:simplePos x="0" y="0"/>
          <wp:positionH relativeFrom="margin">
            <wp:align>center</wp:align>
          </wp:positionH>
          <wp:positionV relativeFrom="margin">
            <wp:align>center</wp:align>
          </wp:positionV>
          <wp:extent cx="6119495" cy="6119495"/>
          <wp:effectExtent l="0" t="0" r="0" b="0"/>
          <wp:wrapNone/>
          <wp:docPr id="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650740" cy="465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68D">
      <w:rPr>
        <w:lang w:val="id-ID"/>
      </w:rPr>
      <w:t>Header halaman genap: Nama Jurnal. Volume 01 Nomor 01 Tahun 2012,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F0E0" w14:textId="6A8818E8" w:rsidR="00CD4368" w:rsidRDefault="00ED706E" w:rsidP="00A57D13">
    <w:pPr>
      <w:pStyle w:val="Header"/>
      <w:jc w:val="both"/>
      <w:rPr>
        <w:lang w:val="id-ID"/>
      </w:rPr>
    </w:pPr>
    <w:r>
      <w:rPr>
        <w:noProof/>
        <w:lang w:val="id-ID" w:eastAsia="id-ID"/>
      </w:rPr>
      <w:drawing>
        <wp:anchor distT="0" distB="0" distL="0" distR="0" simplePos="0" relativeHeight="251661824" behindDoc="1" locked="0" layoutInCell="0" allowOverlap="1" wp14:anchorId="7A558E19" wp14:editId="3F3941A7">
          <wp:simplePos x="0" y="0"/>
          <wp:positionH relativeFrom="margin">
            <wp:align>center</wp:align>
          </wp:positionH>
          <wp:positionV relativeFrom="margin">
            <wp:align>center</wp:align>
          </wp:positionV>
          <wp:extent cx="6119495" cy="6119495"/>
          <wp:effectExtent l="0" t="0" r="0" b="0"/>
          <wp:wrapNone/>
          <wp:docPr id="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650740" cy="4650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B3BA5" w14:textId="77777777" w:rsidR="00CD4368" w:rsidRDefault="00ED706E">
    <w:pPr>
      <w:pStyle w:val="Header"/>
    </w:pPr>
    <w:r>
      <w:rPr>
        <w:noProof/>
        <w:lang w:val="id-ID" w:eastAsia="id-ID"/>
      </w:rPr>
      <w:drawing>
        <wp:anchor distT="0" distB="0" distL="0" distR="0" simplePos="0" relativeHeight="251655680" behindDoc="1" locked="0" layoutInCell="0" allowOverlap="1" wp14:anchorId="12988527" wp14:editId="0038E8B6">
          <wp:simplePos x="0" y="0"/>
          <wp:positionH relativeFrom="margin">
            <wp:align>center</wp:align>
          </wp:positionH>
          <wp:positionV relativeFrom="margin">
            <wp:align>center</wp:align>
          </wp:positionV>
          <wp:extent cx="6119495" cy="6119495"/>
          <wp:effectExtent l="0" t="0" r="0" b="0"/>
          <wp:wrapNone/>
          <wp:docPr id="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650740" cy="4650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E042EC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000002"/>
    <w:multiLevelType w:val="hybridMultilevel"/>
    <w:tmpl w:val="7732257C"/>
    <w:lvl w:ilvl="0" w:tplc="BFDCD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000003"/>
    <w:multiLevelType w:val="hybridMultilevel"/>
    <w:tmpl w:val="5FC8D8E8"/>
    <w:lvl w:ilvl="0" w:tplc="04090019">
      <w:start w:val="1"/>
      <w:numFmt w:val="lowerLetter"/>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3" w15:restartNumberingAfterBreak="0">
    <w:nsid w:val="00000004"/>
    <w:multiLevelType w:val="hybridMultilevel"/>
    <w:tmpl w:val="FF68FC4E"/>
    <w:lvl w:ilvl="0" w:tplc="8AB6F3A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0000005"/>
    <w:multiLevelType w:val="hybridMultilevel"/>
    <w:tmpl w:val="8826BB7C"/>
    <w:lvl w:ilvl="0" w:tplc="9DFC3FD0">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0000006"/>
    <w:multiLevelType w:val="hybridMultilevel"/>
    <w:tmpl w:val="7C6E2D98"/>
    <w:lvl w:ilvl="0" w:tplc="B64E7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000007"/>
    <w:multiLevelType w:val="hybridMultilevel"/>
    <w:tmpl w:val="041E60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0000008"/>
    <w:multiLevelType w:val="hybridMultilevel"/>
    <w:tmpl w:val="4FFCF4C4"/>
    <w:lvl w:ilvl="0" w:tplc="FBE4F6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00000009"/>
    <w:multiLevelType w:val="hybridMultilevel"/>
    <w:tmpl w:val="40E4EB02"/>
    <w:lvl w:ilvl="0" w:tplc="4E905C30">
      <w:start w:val="1"/>
      <w:numFmt w:val="lowerLetter"/>
      <w:lvlText w:val="%1."/>
      <w:lvlJc w:val="left"/>
      <w:pPr>
        <w:ind w:left="1429" w:hanging="360"/>
      </w:pPr>
      <w:rPr>
        <w:color w:val="00000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0000000A"/>
    <w:multiLevelType w:val="hybridMultilevel"/>
    <w:tmpl w:val="75D00D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000000B"/>
    <w:multiLevelType w:val="hybridMultilevel"/>
    <w:tmpl w:val="EA402BE8"/>
    <w:lvl w:ilvl="0" w:tplc="D1FC46B0">
      <w:start w:val="1"/>
      <w:numFmt w:val="bullet"/>
      <w:pStyle w:val="bulletlist"/>
      <w:lvlText w:val=""/>
      <w:lvlJc w:val="left"/>
      <w:pPr>
        <w:tabs>
          <w:tab w:val="left" w:pos="72"/>
        </w:tabs>
        <w:ind w:left="72" w:hanging="360"/>
      </w:pPr>
      <w:rPr>
        <w:rFonts w:ascii="Symbol" w:hAnsi="Symbol" w:hint="default"/>
      </w:rPr>
    </w:lvl>
    <w:lvl w:ilvl="1" w:tplc="04090003">
      <w:start w:val="1"/>
      <w:numFmt w:val="bullet"/>
      <w:lvlText w:val="o"/>
      <w:lvlJc w:val="left"/>
      <w:pPr>
        <w:tabs>
          <w:tab w:val="left" w:pos="864"/>
        </w:tabs>
        <w:ind w:left="864" w:hanging="360"/>
      </w:pPr>
      <w:rPr>
        <w:rFonts w:ascii="Courier New" w:hAnsi="Courier New" w:hint="default"/>
      </w:rPr>
    </w:lvl>
    <w:lvl w:ilvl="2" w:tplc="04090005">
      <w:start w:val="1"/>
      <w:numFmt w:val="bullet"/>
      <w:lvlText w:val=""/>
      <w:lvlJc w:val="left"/>
      <w:pPr>
        <w:tabs>
          <w:tab w:val="left" w:pos="1584"/>
        </w:tabs>
        <w:ind w:left="1584" w:hanging="360"/>
      </w:pPr>
      <w:rPr>
        <w:rFonts w:ascii="Wingdings" w:hAnsi="Wingdings" w:hint="default"/>
      </w:rPr>
    </w:lvl>
    <w:lvl w:ilvl="3" w:tplc="04090001">
      <w:start w:val="1"/>
      <w:numFmt w:val="bullet"/>
      <w:lvlText w:val=""/>
      <w:lvlJc w:val="left"/>
      <w:pPr>
        <w:tabs>
          <w:tab w:val="left" w:pos="2304"/>
        </w:tabs>
        <w:ind w:left="2304" w:hanging="360"/>
      </w:pPr>
      <w:rPr>
        <w:rFonts w:ascii="Symbol" w:hAnsi="Symbol" w:hint="default"/>
      </w:rPr>
    </w:lvl>
    <w:lvl w:ilvl="4" w:tplc="04090003">
      <w:start w:val="1"/>
      <w:numFmt w:val="bullet"/>
      <w:lvlText w:val="o"/>
      <w:lvlJc w:val="left"/>
      <w:pPr>
        <w:tabs>
          <w:tab w:val="left" w:pos="3024"/>
        </w:tabs>
        <w:ind w:left="3024" w:hanging="360"/>
      </w:pPr>
      <w:rPr>
        <w:rFonts w:ascii="Courier New" w:hAnsi="Courier New" w:hint="default"/>
      </w:rPr>
    </w:lvl>
    <w:lvl w:ilvl="5" w:tplc="04090005">
      <w:start w:val="1"/>
      <w:numFmt w:val="bullet"/>
      <w:lvlText w:val=""/>
      <w:lvlJc w:val="left"/>
      <w:pPr>
        <w:tabs>
          <w:tab w:val="left" w:pos="3744"/>
        </w:tabs>
        <w:ind w:left="3744" w:hanging="360"/>
      </w:pPr>
      <w:rPr>
        <w:rFonts w:ascii="Wingdings" w:hAnsi="Wingdings" w:hint="default"/>
      </w:rPr>
    </w:lvl>
    <w:lvl w:ilvl="6" w:tplc="04090001">
      <w:start w:val="1"/>
      <w:numFmt w:val="bullet"/>
      <w:lvlText w:val=""/>
      <w:lvlJc w:val="left"/>
      <w:pPr>
        <w:tabs>
          <w:tab w:val="left" w:pos="4464"/>
        </w:tabs>
        <w:ind w:left="4464" w:hanging="360"/>
      </w:pPr>
      <w:rPr>
        <w:rFonts w:ascii="Symbol" w:hAnsi="Symbol" w:hint="default"/>
      </w:rPr>
    </w:lvl>
    <w:lvl w:ilvl="7" w:tplc="04090003">
      <w:start w:val="1"/>
      <w:numFmt w:val="bullet"/>
      <w:lvlText w:val="o"/>
      <w:lvlJc w:val="left"/>
      <w:pPr>
        <w:tabs>
          <w:tab w:val="left" w:pos="5184"/>
        </w:tabs>
        <w:ind w:left="5184" w:hanging="360"/>
      </w:pPr>
      <w:rPr>
        <w:rFonts w:ascii="Courier New" w:hAnsi="Courier New" w:hint="default"/>
      </w:rPr>
    </w:lvl>
    <w:lvl w:ilvl="8" w:tplc="04090005">
      <w:start w:val="1"/>
      <w:numFmt w:val="bullet"/>
      <w:lvlText w:val=""/>
      <w:lvlJc w:val="left"/>
      <w:pPr>
        <w:tabs>
          <w:tab w:val="left" w:pos="5904"/>
        </w:tabs>
        <w:ind w:left="5904" w:hanging="360"/>
      </w:pPr>
      <w:rPr>
        <w:rFonts w:ascii="Wingdings" w:hAnsi="Wingdings" w:hint="default"/>
      </w:rPr>
    </w:lvl>
  </w:abstractNum>
  <w:abstractNum w:abstractNumId="11" w15:restartNumberingAfterBreak="0">
    <w:nsid w:val="0000000C"/>
    <w:multiLevelType w:val="hybridMultilevel"/>
    <w:tmpl w:val="B6D490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000000D"/>
    <w:multiLevelType w:val="multilevel"/>
    <w:tmpl w:val="F3FA876A"/>
    <w:lvl w:ilvl="0">
      <w:start w:val="1"/>
      <w:numFmt w:val="upperRoman"/>
      <w:pStyle w:val="Heading1"/>
      <w:lvlText w:val="%1."/>
      <w:lvlJc w:val="center"/>
      <w:pPr>
        <w:tabs>
          <w:tab w:val="left" w:pos="576"/>
        </w:tabs>
        <w:ind w:firstLine="216"/>
      </w:pPr>
      <w:rPr>
        <w:rFonts w:ascii="Times New Roman" w:hAnsi="Times New Roman" w:cs="Times New Roman" w:hint="default"/>
        <w:caps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3" w15:restartNumberingAfterBreak="0">
    <w:nsid w:val="0000000E"/>
    <w:multiLevelType w:val="hybridMultilevel"/>
    <w:tmpl w:val="A8985570"/>
    <w:lvl w:ilvl="0" w:tplc="6AA6C15E">
      <w:start w:val="1"/>
      <w:numFmt w:val="lowerLetter"/>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14" w15:restartNumberingAfterBreak="0">
    <w:nsid w:val="0000000F"/>
    <w:multiLevelType w:val="hybridMultilevel"/>
    <w:tmpl w:val="327AE2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00000010"/>
    <w:multiLevelType w:val="hybridMultilevel"/>
    <w:tmpl w:val="308493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00000011"/>
    <w:multiLevelType w:val="hybridMultilevel"/>
    <w:tmpl w:val="78FA8BE2"/>
    <w:lvl w:ilvl="0" w:tplc="04090019">
      <w:start w:val="1"/>
      <w:numFmt w:val="lowerLetter"/>
      <w:lvlText w:val="%1."/>
      <w:lvlJc w:val="left"/>
      <w:pPr>
        <w:ind w:left="1474" w:hanging="360"/>
      </w:pPr>
    </w:lvl>
    <w:lvl w:ilvl="1" w:tplc="04090019" w:tentative="1">
      <w:start w:val="1"/>
      <w:numFmt w:val="lowerLetter"/>
      <w:lvlText w:val="%2."/>
      <w:lvlJc w:val="left"/>
      <w:pPr>
        <w:ind w:left="2194" w:hanging="360"/>
      </w:pPr>
    </w:lvl>
    <w:lvl w:ilvl="2" w:tplc="0409001B" w:tentative="1">
      <w:start w:val="1"/>
      <w:numFmt w:val="lowerRoman"/>
      <w:lvlText w:val="%3."/>
      <w:lvlJc w:val="right"/>
      <w:pPr>
        <w:ind w:left="2914" w:hanging="180"/>
      </w:pPr>
    </w:lvl>
    <w:lvl w:ilvl="3" w:tplc="0409000F" w:tentative="1">
      <w:start w:val="1"/>
      <w:numFmt w:val="decimal"/>
      <w:lvlText w:val="%4."/>
      <w:lvlJc w:val="left"/>
      <w:pPr>
        <w:ind w:left="3634" w:hanging="360"/>
      </w:pPr>
    </w:lvl>
    <w:lvl w:ilvl="4" w:tplc="04090019" w:tentative="1">
      <w:start w:val="1"/>
      <w:numFmt w:val="lowerLetter"/>
      <w:lvlText w:val="%5."/>
      <w:lvlJc w:val="left"/>
      <w:pPr>
        <w:ind w:left="4354" w:hanging="360"/>
      </w:pPr>
    </w:lvl>
    <w:lvl w:ilvl="5" w:tplc="0409001B" w:tentative="1">
      <w:start w:val="1"/>
      <w:numFmt w:val="lowerRoman"/>
      <w:lvlText w:val="%6."/>
      <w:lvlJc w:val="right"/>
      <w:pPr>
        <w:ind w:left="5074" w:hanging="180"/>
      </w:pPr>
    </w:lvl>
    <w:lvl w:ilvl="6" w:tplc="0409000F" w:tentative="1">
      <w:start w:val="1"/>
      <w:numFmt w:val="decimal"/>
      <w:lvlText w:val="%7."/>
      <w:lvlJc w:val="left"/>
      <w:pPr>
        <w:ind w:left="5794" w:hanging="360"/>
      </w:pPr>
    </w:lvl>
    <w:lvl w:ilvl="7" w:tplc="04090019" w:tentative="1">
      <w:start w:val="1"/>
      <w:numFmt w:val="lowerLetter"/>
      <w:lvlText w:val="%8."/>
      <w:lvlJc w:val="left"/>
      <w:pPr>
        <w:ind w:left="6514" w:hanging="360"/>
      </w:pPr>
    </w:lvl>
    <w:lvl w:ilvl="8" w:tplc="0409001B" w:tentative="1">
      <w:start w:val="1"/>
      <w:numFmt w:val="lowerRoman"/>
      <w:lvlText w:val="%9."/>
      <w:lvlJc w:val="right"/>
      <w:pPr>
        <w:ind w:left="7234" w:hanging="180"/>
      </w:pPr>
    </w:lvl>
  </w:abstractNum>
  <w:abstractNum w:abstractNumId="17" w15:restartNumberingAfterBreak="0">
    <w:nsid w:val="00000012"/>
    <w:multiLevelType w:val="hybridMultilevel"/>
    <w:tmpl w:val="0380B774"/>
    <w:lvl w:ilvl="0" w:tplc="9EC696B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00000013"/>
    <w:multiLevelType w:val="hybridMultilevel"/>
    <w:tmpl w:val="295E3E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00000014"/>
    <w:multiLevelType w:val="hybridMultilevel"/>
    <w:tmpl w:val="CF9E60EA"/>
    <w:lvl w:ilvl="0" w:tplc="6314958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00000015"/>
    <w:multiLevelType w:val="hybridMultilevel"/>
    <w:tmpl w:val="7E1A1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72F0FD3E"/>
    <w:lvl w:ilvl="0" w:tplc="58D435E8">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00000017"/>
    <w:multiLevelType w:val="hybridMultilevel"/>
    <w:tmpl w:val="AB8CB462"/>
    <w:lvl w:ilvl="0" w:tplc="F8E88A64">
      <w:start w:val="1"/>
      <w:numFmt w:val="lowerLetter"/>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23" w15:restartNumberingAfterBreak="0">
    <w:nsid w:val="0B904094"/>
    <w:multiLevelType w:val="hybridMultilevel"/>
    <w:tmpl w:val="FBD497B2"/>
    <w:lvl w:ilvl="0" w:tplc="8CF0413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0D9B1ADD"/>
    <w:multiLevelType w:val="hybridMultilevel"/>
    <w:tmpl w:val="CA8E20AC"/>
    <w:lvl w:ilvl="0" w:tplc="DC54335A">
      <w:start w:val="1"/>
      <w:numFmt w:val="decimal"/>
      <w:lvlText w:val="%1."/>
      <w:lvlJc w:val="left"/>
      <w:pPr>
        <w:ind w:left="927" w:hanging="360"/>
      </w:pPr>
      <w:rPr>
        <w:rFonts w:ascii="Times New Roman" w:hAnsi="Times New Roman" w:cs="Times New Roman" w:hint="default"/>
        <w:sz w:val="20"/>
        <w:szCs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0DB76487"/>
    <w:multiLevelType w:val="hybridMultilevel"/>
    <w:tmpl w:val="B04E4908"/>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15:restartNumberingAfterBreak="0">
    <w:nsid w:val="13F12D49"/>
    <w:multiLevelType w:val="hybridMultilevel"/>
    <w:tmpl w:val="FC4A678E"/>
    <w:lvl w:ilvl="0" w:tplc="A3CEAA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61E436C"/>
    <w:multiLevelType w:val="hybridMultilevel"/>
    <w:tmpl w:val="7C7C4702"/>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15:restartNumberingAfterBreak="0">
    <w:nsid w:val="16613393"/>
    <w:multiLevelType w:val="hybridMultilevel"/>
    <w:tmpl w:val="A84C116A"/>
    <w:lvl w:ilvl="0" w:tplc="04090019">
      <w:start w:val="1"/>
      <w:numFmt w:val="lowerLetter"/>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9" w15:restartNumberingAfterBreak="0">
    <w:nsid w:val="190502AB"/>
    <w:multiLevelType w:val="hybridMultilevel"/>
    <w:tmpl w:val="48A2D5B4"/>
    <w:lvl w:ilvl="0" w:tplc="CADAC74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299906C5"/>
    <w:multiLevelType w:val="hybridMultilevel"/>
    <w:tmpl w:val="2696A00E"/>
    <w:lvl w:ilvl="0" w:tplc="CFEE7CF0">
      <w:start w:val="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382F34BF"/>
    <w:multiLevelType w:val="hybridMultilevel"/>
    <w:tmpl w:val="600E970C"/>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32" w15:restartNumberingAfterBreak="0">
    <w:nsid w:val="3EAB540D"/>
    <w:multiLevelType w:val="hybridMultilevel"/>
    <w:tmpl w:val="741857B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15:restartNumberingAfterBreak="0">
    <w:nsid w:val="4F2168E3"/>
    <w:multiLevelType w:val="hybridMultilevel"/>
    <w:tmpl w:val="2A0A379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57B2233"/>
    <w:multiLevelType w:val="hybridMultilevel"/>
    <w:tmpl w:val="4F0C082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58544BD0"/>
    <w:multiLevelType w:val="hybridMultilevel"/>
    <w:tmpl w:val="42807708"/>
    <w:lvl w:ilvl="0" w:tplc="7C58A96C">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6" w15:restartNumberingAfterBreak="0">
    <w:nsid w:val="5B104457"/>
    <w:multiLevelType w:val="hybridMultilevel"/>
    <w:tmpl w:val="1B06F8FA"/>
    <w:lvl w:ilvl="0" w:tplc="0421000F">
      <w:start w:val="1"/>
      <w:numFmt w:val="decimal"/>
      <w:lvlText w:val="%1."/>
      <w:lvlJc w:val="left"/>
      <w:pPr>
        <w:ind w:left="928"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15:restartNumberingAfterBreak="0">
    <w:nsid w:val="6962129A"/>
    <w:multiLevelType w:val="hybridMultilevel"/>
    <w:tmpl w:val="7CEE5616"/>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15:restartNumberingAfterBreak="0">
    <w:nsid w:val="6DE24EC6"/>
    <w:multiLevelType w:val="hybridMultilevel"/>
    <w:tmpl w:val="2482DFCC"/>
    <w:lvl w:ilvl="0" w:tplc="D2A83484">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39" w15:restartNumberingAfterBreak="0">
    <w:nsid w:val="6EEF1D6E"/>
    <w:multiLevelType w:val="hybridMultilevel"/>
    <w:tmpl w:val="6B44750A"/>
    <w:lvl w:ilvl="0" w:tplc="7C58A96C">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0" w15:restartNumberingAfterBreak="0">
    <w:nsid w:val="75EB0AC1"/>
    <w:multiLevelType w:val="hybridMultilevel"/>
    <w:tmpl w:val="5A222D9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1" w15:restartNumberingAfterBreak="0">
    <w:nsid w:val="76C819C5"/>
    <w:multiLevelType w:val="hybridMultilevel"/>
    <w:tmpl w:val="18C4734C"/>
    <w:lvl w:ilvl="0" w:tplc="D5A6E90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715F51"/>
    <w:multiLevelType w:val="hybridMultilevel"/>
    <w:tmpl w:val="1E6C79AC"/>
    <w:lvl w:ilvl="0" w:tplc="5372AB7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0"/>
  </w:num>
  <w:num w:numId="2">
    <w:abstractNumId w:val="12"/>
  </w:num>
  <w:num w:numId="3">
    <w:abstractNumId w:val="38"/>
  </w:num>
  <w:num w:numId="4">
    <w:abstractNumId w:val="21"/>
  </w:num>
  <w:num w:numId="5">
    <w:abstractNumId w:val="18"/>
  </w:num>
  <w:num w:numId="6">
    <w:abstractNumId w:val="9"/>
  </w:num>
  <w:num w:numId="7">
    <w:abstractNumId w:val="7"/>
  </w:num>
  <w:num w:numId="8">
    <w:abstractNumId w:val="14"/>
  </w:num>
  <w:num w:numId="9">
    <w:abstractNumId w:val="17"/>
  </w:num>
  <w:num w:numId="10">
    <w:abstractNumId w:val="11"/>
  </w:num>
  <w:num w:numId="11">
    <w:abstractNumId w:val="15"/>
  </w:num>
  <w:num w:numId="12">
    <w:abstractNumId w:val="6"/>
  </w:num>
  <w:num w:numId="13">
    <w:abstractNumId w:val="8"/>
  </w:num>
  <w:num w:numId="14">
    <w:abstractNumId w:val="1"/>
  </w:num>
  <w:num w:numId="15">
    <w:abstractNumId w:val="19"/>
  </w:num>
  <w:num w:numId="16">
    <w:abstractNumId w:val="3"/>
  </w:num>
  <w:num w:numId="17">
    <w:abstractNumId w:val="2"/>
  </w:num>
  <w:num w:numId="18">
    <w:abstractNumId w:val="20"/>
  </w:num>
  <w:num w:numId="19">
    <w:abstractNumId w:val="5"/>
  </w:num>
  <w:num w:numId="20">
    <w:abstractNumId w:val="22"/>
  </w:num>
  <w:num w:numId="21">
    <w:abstractNumId w:val="13"/>
  </w:num>
  <w:num w:numId="22">
    <w:abstractNumId w:val="0"/>
  </w:num>
  <w:num w:numId="23">
    <w:abstractNumId w:val="16"/>
  </w:num>
  <w:num w:numId="24">
    <w:abstractNumId w:val="4"/>
  </w:num>
  <w:num w:numId="25">
    <w:abstractNumId w:val="41"/>
  </w:num>
  <w:num w:numId="26">
    <w:abstractNumId w:val="26"/>
  </w:num>
  <w:num w:numId="27">
    <w:abstractNumId w:val="29"/>
  </w:num>
  <w:num w:numId="28">
    <w:abstractNumId w:val="32"/>
  </w:num>
  <w:num w:numId="29">
    <w:abstractNumId w:val="42"/>
  </w:num>
  <w:num w:numId="30">
    <w:abstractNumId w:val="33"/>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4"/>
  </w:num>
  <w:num w:numId="34">
    <w:abstractNumId w:val="37"/>
  </w:num>
  <w:num w:numId="35">
    <w:abstractNumId w:val="40"/>
  </w:num>
  <w:num w:numId="36">
    <w:abstractNumId w:val="39"/>
  </w:num>
  <w:num w:numId="37">
    <w:abstractNumId w:val="35"/>
  </w:num>
  <w:num w:numId="38">
    <w:abstractNumId w:val="31"/>
  </w:num>
  <w:num w:numId="39">
    <w:abstractNumId w:val="27"/>
  </w:num>
  <w:num w:numId="40">
    <w:abstractNumId w:val="25"/>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24"/>
  </w:num>
  <w:num w:numId="45">
    <w:abstractNumId w:val="30"/>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68"/>
    <w:rsid w:val="00001362"/>
    <w:rsid w:val="00005966"/>
    <w:rsid w:val="00007250"/>
    <w:rsid w:val="000218E3"/>
    <w:rsid w:val="00034209"/>
    <w:rsid w:val="0004133A"/>
    <w:rsid w:val="00056B0B"/>
    <w:rsid w:val="0006220F"/>
    <w:rsid w:val="0006796A"/>
    <w:rsid w:val="000867BB"/>
    <w:rsid w:val="00094A34"/>
    <w:rsid w:val="000A4D56"/>
    <w:rsid w:val="000B2996"/>
    <w:rsid w:val="000B2C3A"/>
    <w:rsid w:val="000B56CB"/>
    <w:rsid w:val="000C732C"/>
    <w:rsid w:val="000D0AB8"/>
    <w:rsid w:val="000D7A78"/>
    <w:rsid w:val="000F0FF1"/>
    <w:rsid w:val="000F4A2F"/>
    <w:rsid w:val="00104E08"/>
    <w:rsid w:val="0011514F"/>
    <w:rsid w:val="001242F9"/>
    <w:rsid w:val="0012730B"/>
    <w:rsid w:val="0013181D"/>
    <w:rsid w:val="0014178F"/>
    <w:rsid w:val="00143261"/>
    <w:rsid w:val="0015578A"/>
    <w:rsid w:val="001564A5"/>
    <w:rsid w:val="00157814"/>
    <w:rsid w:val="0015794A"/>
    <w:rsid w:val="001709E5"/>
    <w:rsid w:val="00186A08"/>
    <w:rsid w:val="001B0183"/>
    <w:rsid w:val="001C0FE2"/>
    <w:rsid w:val="001C50AA"/>
    <w:rsid w:val="001D05EE"/>
    <w:rsid w:val="001E2E8B"/>
    <w:rsid w:val="001E3AAC"/>
    <w:rsid w:val="001F35DE"/>
    <w:rsid w:val="001F5D48"/>
    <w:rsid w:val="001F6AE6"/>
    <w:rsid w:val="00212572"/>
    <w:rsid w:val="00215652"/>
    <w:rsid w:val="00215FD0"/>
    <w:rsid w:val="00227021"/>
    <w:rsid w:val="00232766"/>
    <w:rsid w:val="00244ECA"/>
    <w:rsid w:val="002467AF"/>
    <w:rsid w:val="002475FE"/>
    <w:rsid w:val="00255417"/>
    <w:rsid w:val="00263F57"/>
    <w:rsid w:val="00275403"/>
    <w:rsid w:val="00283570"/>
    <w:rsid w:val="0029468B"/>
    <w:rsid w:val="00294EF7"/>
    <w:rsid w:val="002A239F"/>
    <w:rsid w:val="002A245E"/>
    <w:rsid w:val="002B0B39"/>
    <w:rsid w:val="002B14B2"/>
    <w:rsid w:val="002B63CF"/>
    <w:rsid w:val="002B672C"/>
    <w:rsid w:val="002D6E37"/>
    <w:rsid w:val="00323110"/>
    <w:rsid w:val="003240B6"/>
    <w:rsid w:val="00324916"/>
    <w:rsid w:val="00325932"/>
    <w:rsid w:val="00347833"/>
    <w:rsid w:val="003515A8"/>
    <w:rsid w:val="003539D3"/>
    <w:rsid w:val="003555C5"/>
    <w:rsid w:val="003657F9"/>
    <w:rsid w:val="0037105B"/>
    <w:rsid w:val="00381352"/>
    <w:rsid w:val="003852D5"/>
    <w:rsid w:val="00387282"/>
    <w:rsid w:val="00396093"/>
    <w:rsid w:val="003B5294"/>
    <w:rsid w:val="003B5A7C"/>
    <w:rsid w:val="003C15D6"/>
    <w:rsid w:val="003C6EA3"/>
    <w:rsid w:val="003C750F"/>
    <w:rsid w:val="003D779C"/>
    <w:rsid w:val="003E1A15"/>
    <w:rsid w:val="003E1FFB"/>
    <w:rsid w:val="003F2EEF"/>
    <w:rsid w:val="004122F8"/>
    <w:rsid w:val="0043399B"/>
    <w:rsid w:val="00437E60"/>
    <w:rsid w:val="0045176B"/>
    <w:rsid w:val="00460BD4"/>
    <w:rsid w:val="0046383D"/>
    <w:rsid w:val="00472DE1"/>
    <w:rsid w:val="004846EB"/>
    <w:rsid w:val="00492921"/>
    <w:rsid w:val="00495AD6"/>
    <w:rsid w:val="00497748"/>
    <w:rsid w:val="004A49CA"/>
    <w:rsid w:val="004A7CB7"/>
    <w:rsid w:val="004B5580"/>
    <w:rsid w:val="004C0584"/>
    <w:rsid w:val="004C55AB"/>
    <w:rsid w:val="004C6193"/>
    <w:rsid w:val="004C7AB3"/>
    <w:rsid w:val="004E096B"/>
    <w:rsid w:val="004E2161"/>
    <w:rsid w:val="004E43EA"/>
    <w:rsid w:val="004E639C"/>
    <w:rsid w:val="004F0292"/>
    <w:rsid w:val="004F1ECF"/>
    <w:rsid w:val="004F7CBB"/>
    <w:rsid w:val="00500D94"/>
    <w:rsid w:val="00502E23"/>
    <w:rsid w:val="00506AD6"/>
    <w:rsid w:val="00507227"/>
    <w:rsid w:val="0051065E"/>
    <w:rsid w:val="0051400A"/>
    <w:rsid w:val="00515ABB"/>
    <w:rsid w:val="0053124C"/>
    <w:rsid w:val="00534039"/>
    <w:rsid w:val="0054210C"/>
    <w:rsid w:val="005504CD"/>
    <w:rsid w:val="00563F1C"/>
    <w:rsid w:val="00573D1C"/>
    <w:rsid w:val="005771EE"/>
    <w:rsid w:val="00584ABE"/>
    <w:rsid w:val="00586B19"/>
    <w:rsid w:val="00587BA8"/>
    <w:rsid w:val="00590B85"/>
    <w:rsid w:val="005A0696"/>
    <w:rsid w:val="005C52B7"/>
    <w:rsid w:val="005D04E5"/>
    <w:rsid w:val="005E4D99"/>
    <w:rsid w:val="005E5EB3"/>
    <w:rsid w:val="005F0BC4"/>
    <w:rsid w:val="005F23ED"/>
    <w:rsid w:val="005F6D06"/>
    <w:rsid w:val="006123BE"/>
    <w:rsid w:val="00615A8D"/>
    <w:rsid w:val="00635DC3"/>
    <w:rsid w:val="006563B9"/>
    <w:rsid w:val="00672BB7"/>
    <w:rsid w:val="00676393"/>
    <w:rsid w:val="00683D36"/>
    <w:rsid w:val="006A5418"/>
    <w:rsid w:val="006A54BC"/>
    <w:rsid w:val="006B0D13"/>
    <w:rsid w:val="006B647C"/>
    <w:rsid w:val="006D0378"/>
    <w:rsid w:val="006D7F4B"/>
    <w:rsid w:val="006E4DC9"/>
    <w:rsid w:val="006E5E3F"/>
    <w:rsid w:val="006F5F33"/>
    <w:rsid w:val="0070229F"/>
    <w:rsid w:val="00711AAD"/>
    <w:rsid w:val="00711AC7"/>
    <w:rsid w:val="00715F50"/>
    <w:rsid w:val="00741D37"/>
    <w:rsid w:val="00745043"/>
    <w:rsid w:val="007550B2"/>
    <w:rsid w:val="0075541C"/>
    <w:rsid w:val="00761825"/>
    <w:rsid w:val="007633CB"/>
    <w:rsid w:val="007646CC"/>
    <w:rsid w:val="00764E0C"/>
    <w:rsid w:val="00765E57"/>
    <w:rsid w:val="00772217"/>
    <w:rsid w:val="00772E42"/>
    <w:rsid w:val="00775B1A"/>
    <w:rsid w:val="007773A3"/>
    <w:rsid w:val="00777B0E"/>
    <w:rsid w:val="00794F2E"/>
    <w:rsid w:val="00795B01"/>
    <w:rsid w:val="00797B83"/>
    <w:rsid w:val="007B3AF4"/>
    <w:rsid w:val="007C091A"/>
    <w:rsid w:val="007C1957"/>
    <w:rsid w:val="007C216F"/>
    <w:rsid w:val="007D5B40"/>
    <w:rsid w:val="007D6270"/>
    <w:rsid w:val="007E4AAC"/>
    <w:rsid w:val="007E75B7"/>
    <w:rsid w:val="007F2C3C"/>
    <w:rsid w:val="007F519D"/>
    <w:rsid w:val="007F5831"/>
    <w:rsid w:val="007F66FB"/>
    <w:rsid w:val="00810D83"/>
    <w:rsid w:val="00826072"/>
    <w:rsid w:val="008320CC"/>
    <w:rsid w:val="00841816"/>
    <w:rsid w:val="00844AB1"/>
    <w:rsid w:val="00852B5A"/>
    <w:rsid w:val="00861964"/>
    <w:rsid w:val="0086225C"/>
    <w:rsid w:val="00865F55"/>
    <w:rsid w:val="00883C57"/>
    <w:rsid w:val="00893945"/>
    <w:rsid w:val="00896DFD"/>
    <w:rsid w:val="008C66D7"/>
    <w:rsid w:val="008E4D36"/>
    <w:rsid w:val="008F3933"/>
    <w:rsid w:val="008F3DDF"/>
    <w:rsid w:val="009040CD"/>
    <w:rsid w:val="00904326"/>
    <w:rsid w:val="00905F61"/>
    <w:rsid w:val="00906164"/>
    <w:rsid w:val="00907067"/>
    <w:rsid w:val="00912AFD"/>
    <w:rsid w:val="00922FEB"/>
    <w:rsid w:val="00923D13"/>
    <w:rsid w:val="009331C2"/>
    <w:rsid w:val="00933FC4"/>
    <w:rsid w:val="00947893"/>
    <w:rsid w:val="00955DD4"/>
    <w:rsid w:val="00961C7D"/>
    <w:rsid w:val="009671BA"/>
    <w:rsid w:val="00973A17"/>
    <w:rsid w:val="009812E9"/>
    <w:rsid w:val="009B425D"/>
    <w:rsid w:val="009B7355"/>
    <w:rsid w:val="009C1628"/>
    <w:rsid w:val="009C44BA"/>
    <w:rsid w:val="009C6781"/>
    <w:rsid w:val="009E291C"/>
    <w:rsid w:val="00A03B9C"/>
    <w:rsid w:val="00A16A82"/>
    <w:rsid w:val="00A36CF9"/>
    <w:rsid w:val="00A3744D"/>
    <w:rsid w:val="00A45B2D"/>
    <w:rsid w:val="00A464DF"/>
    <w:rsid w:val="00A53603"/>
    <w:rsid w:val="00A5575F"/>
    <w:rsid w:val="00A57D13"/>
    <w:rsid w:val="00A61065"/>
    <w:rsid w:val="00A7016E"/>
    <w:rsid w:val="00A76158"/>
    <w:rsid w:val="00A93F45"/>
    <w:rsid w:val="00A96228"/>
    <w:rsid w:val="00AA04DF"/>
    <w:rsid w:val="00AB7068"/>
    <w:rsid w:val="00AB7650"/>
    <w:rsid w:val="00AC0785"/>
    <w:rsid w:val="00AC6C38"/>
    <w:rsid w:val="00AE36BD"/>
    <w:rsid w:val="00AE3F5E"/>
    <w:rsid w:val="00AF41AA"/>
    <w:rsid w:val="00AF49F2"/>
    <w:rsid w:val="00B0215C"/>
    <w:rsid w:val="00B05FD0"/>
    <w:rsid w:val="00B32EBE"/>
    <w:rsid w:val="00B4010E"/>
    <w:rsid w:val="00B4570A"/>
    <w:rsid w:val="00B55377"/>
    <w:rsid w:val="00B566E5"/>
    <w:rsid w:val="00B73FBB"/>
    <w:rsid w:val="00B8782E"/>
    <w:rsid w:val="00B96A5A"/>
    <w:rsid w:val="00BA3804"/>
    <w:rsid w:val="00BC5FF7"/>
    <w:rsid w:val="00BF759C"/>
    <w:rsid w:val="00C01419"/>
    <w:rsid w:val="00C13621"/>
    <w:rsid w:val="00C3148B"/>
    <w:rsid w:val="00C3295D"/>
    <w:rsid w:val="00C3555A"/>
    <w:rsid w:val="00C35A4A"/>
    <w:rsid w:val="00C37754"/>
    <w:rsid w:val="00C50BE9"/>
    <w:rsid w:val="00C57CDF"/>
    <w:rsid w:val="00C62C2A"/>
    <w:rsid w:val="00C636D8"/>
    <w:rsid w:val="00C6526C"/>
    <w:rsid w:val="00C82428"/>
    <w:rsid w:val="00CA5BAD"/>
    <w:rsid w:val="00CA688F"/>
    <w:rsid w:val="00CB18AC"/>
    <w:rsid w:val="00CC24A8"/>
    <w:rsid w:val="00CC43A4"/>
    <w:rsid w:val="00CC5EBC"/>
    <w:rsid w:val="00CC622D"/>
    <w:rsid w:val="00CD2170"/>
    <w:rsid w:val="00CD4368"/>
    <w:rsid w:val="00CE1B6C"/>
    <w:rsid w:val="00CE391A"/>
    <w:rsid w:val="00CF0DA1"/>
    <w:rsid w:val="00CF3940"/>
    <w:rsid w:val="00CF6A4B"/>
    <w:rsid w:val="00D07EA1"/>
    <w:rsid w:val="00D17525"/>
    <w:rsid w:val="00D20564"/>
    <w:rsid w:val="00D23E8A"/>
    <w:rsid w:val="00D2478E"/>
    <w:rsid w:val="00D35681"/>
    <w:rsid w:val="00D47A5D"/>
    <w:rsid w:val="00D50274"/>
    <w:rsid w:val="00D50A04"/>
    <w:rsid w:val="00D56B93"/>
    <w:rsid w:val="00D63B0B"/>
    <w:rsid w:val="00D65D3D"/>
    <w:rsid w:val="00D749AB"/>
    <w:rsid w:val="00D753DA"/>
    <w:rsid w:val="00D77BDB"/>
    <w:rsid w:val="00D8193F"/>
    <w:rsid w:val="00D94750"/>
    <w:rsid w:val="00DA247B"/>
    <w:rsid w:val="00DA320C"/>
    <w:rsid w:val="00DA3379"/>
    <w:rsid w:val="00DA5119"/>
    <w:rsid w:val="00DC2D2C"/>
    <w:rsid w:val="00DE0A8A"/>
    <w:rsid w:val="00DE5569"/>
    <w:rsid w:val="00DE7A21"/>
    <w:rsid w:val="00E02BDE"/>
    <w:rsid w:val="00E03EA2"/>
    <w:rsid w:val="00E04C25"/>
    <w:rsid w:val="00E21821"/>
    <w:rsid w:val="00E21E9D"/>
    <w:rsid w:val="00E26B01"/>
    <w:rsid w:val="00E3593D"/>
    <w:rsid w:val="00E44091"/>
    <w:rsid w:val="00E44674"/>
    <w:rsid w:val="00E50CE0"/>
    <w:rsid w:val="00E63E12"/>
    <w:rsid w:val="00E74CD7"/>
    <w:rsid w:val="00EA3AEC"/>
    <w:rsid w:val="00EC17CC"/>
    <w:rsid w:val="00ED0EFB"/>
    <w:rsid w:val="00ED5D40"/>
    <w:rsid w:val="00ED657F"/>
    <w:rsid w:val="00ED706E"/>
    <w:rsid w:val="00EE3488"/>
    <w:rsid w:val="00EE6644"/>
    <w:rsid w:val="00EF2586"/>
    <w:rsid w:val="00EF5DA6"/>
    <w:rsid w:val="00F02BF8"/>
    <w:rsid w:val="00F10D06"/>
    <w:rsid w:val="00F158EC"/>
    <w:rsid w:val="00F17C3C"/>
    <w:rsid w:val="00F26687"/>
    <w:rsid w:val="00F327C8"/>
    <w:rsid w:val="00F34D78"/>
    <w:rsid w:val="00F35747"/>
    <w:rsid w:val="00F52E51"/>
    <w:rsid w:val="00F55925"/>
    <w:rsid w:val="00F661E2"/>
    <w:rsid w:val="00F71FBA"/>
    <w:rsid w:val="00F7609F"/>
    <w:rsid w:val="00F864D4"/>
    <w:rsid w:val="00F86E0B"/>
    <w:rsid w:val="00F9250C"/>
    <w:rsid w:val="00F96983"/>
    <w:rsid w:val="00FA07F5"/>
    <w:rsid w:val="00FB5A74"/>
    <w:rsid w:val="00FB620F"/>
    <w:rsid w:val="00FC3E08"/>
    <w:rsid w:val="00FC6499"/>
    <w:rsid w:val="00FD468D"/>
    <w:rsid w:val="00FD4A49"/>
    <w:rsid w:val="00FF4C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333D3"/>
  <w15:docId w15:val="{1B3E0450-BB64-431F-98B7-FC92F4E3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rFonts w:ascii="Times New Roman" w:eastAsia="SimSun" w:hAnsi="Times New Roman"/>
      <w:lang w:val="en-US" w:eastAsia="en-US"/>
    </w:rPr>
  </w:style>
  <w:style w:type="paragraph" w:styleId="Heading1">
    <w:name w:val="heading 1"/>
    <w:basedOn w:val="Normal"/>
    <w:next w:val="Normal"/>
    <w:link w:val="Heading1Char"/>
    <w:uiPriority w:val="9"/>
    <w:qFormat/>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uiPriority w:val="9"/>
    <w:semiHidden/>
    <w:unhideWhenUsed/>
    <w:qFormat/>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uiPriority w:val="9"/>
    <w:semiHidden/>
    <w:unhideWhenUsed/>
    <w:qFormat/>
    <w:pPr>
      <w:numPr>
        <w:ilvl w:val="2"/>
        <w:numId w:val="2"/>
      </w:numPr>
      <w:spacing w:line="240" w:lineRule="exact"/>
      <w:jc w:val="both"/>
      <w:outlineLvl w:val="2"/>
    </w:pPr>
    <w:rPr>
      <w:i/>
      <w:iCs/>
      <w:noProof/>
    </w:rPr>
  </w:style>
  <w:style w:type="paragraph" w:styleId="Heading4">
    <w:name w:val="heading 4"/>
    <w:basedOn w:val="Normal"/>
    <w:next w:val="Normal"/>
    <w:link w:val="Heading4Char"/>
    <w:uiPriority w:val="9"/>
    <w:semiHidden/>
    <w:unhideWhenUsed/>
    <w:qFormat/>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Pr>
      <w:rFonts w:ascii="Times New Roman" w:eastAsia="SimSun" w:hAnsi="Times New Roman" w:cs="Times New Roman"/>
      <w:spacing w:val="-1"/>
      <w:sz w:val="20"/>
      <w:szCs w:val="20"/>
      <w:lang w:val="en-US"/>
    </w:rPr>
  </w:style>
  <w:style w:type="paragraph" w:styleId="BodyText">
    <w:name w:val="Body Text"/>
    <w:basedOn w:val="Normal"/>
    <w:link w:val="BodyTextChar"/>
    <w:pPr>
      <w:spacing w:line="360" w:lineRule="auto"/>
      <w:ind w:firstLine="289"/>
      <w:jc w:val="both"/>
    </w:pPr>
    <w:rPr>
      <w:spacing w:val="-1"/>
    </w:rPr>
  </w:style>
  <w:style w:type="paragraph" w:customStyle="1" w:styleId="bulletlist">
    <w:name w:val="bullet list"/>
    <w:basedOn w:val="BodyText"/>
    <w:pPr>
      <w:numPr>
        <w:numId w:val="1"/>
      </w:numPr>
      <w:tabs>
        <w:tab w:val="left" w:pos="648"/>
      </w:tabs>
      <w:ind w:left="357" w:hanging="357"/>
    </w:pPr>
  </w:style>
  <w:style w:type="character" w:customStyle="1" w:styleId="Heading1Char">
    <w:name w:val="Heading 1 Char"/>
    <w:link w:val="Heading1"/>
    <w:uiPriority w:val="9"/>
    <w:rPr>
      <w:rFonts w:ascii="Times New Roman" w:eastAsia="SimSun" w:hAnsi="Times New Roman" w:cs="Times New Roman"/>
      <w:smallCaps/>
      <w:noProof/>
      <w:sz w:val="20"/>
      <w:szCs w:val="20"/>
      <w:lang w:val="en-US"/>
    </w:rPr>
  </w:style>
  <w:style w:type="character" w:customStyle="1" w:styleId="Heading2Char">
    <w:name w:val="Heading 2 Char"/>
    <w:link w:val="Heading2"/>
    <w:rPr>
      <w:rFonts w:ascii="Times New Roman" w:eastAsia="SimSun" w:hAnsi="Times New Roman" w:cs="Times New Roman"/>
      <w:i/>
      <w:iCs/>
      <w:noProof/>
      <w:sz w:val="20"/>
      <w:szCs w:val="20"/>
      <w:lang w:val="en-US"/>
    </w:rPr>
  </w:style>
  <w:style w:type="character" w:customStyle="1" w:styleId="Heading3Char">
    <w:name w:val="Heading 3 Char"/>
    <w:link w:val="Heading3"/>
    <w:rPr>
      <w:rFonts w:ascii="Times New Roman" w:eastAsia="SimSun" w:hAnsi="Times New Roman" w:cs="Times New Roman"/>
      <w:i/>
      <w:iCs/>
      <w:noProof/>
      <w:sz w:val="20"/>
      <w:szCs w:val="20"/>
      <w:lang w:val="en-US"/>
    </w:rPr>
  </w:style>
  <w:style w:type="character" w:customStyle="1" w:styleId="Heading4Char">
    <w:name w:val="Heading 4 Char"/>
    <w:link w:val="Heading4"/>
    <w:rPr>
      <w:rFonts w:ascii="Times New Roman" w:eastAsia="SimSun" w:hAnsi="Times New Roman" w:cs="Times New Roman"/>
      <w:i/>
      <w:iCs/>
      <w:noProof/>
      <w:sz w:val="20"/>
      <w:szCs w:val="20"/>
      <w:lang w:val="en-US"/>
    </w:rPr>
  </w:style>
  <w:style w:type="character" w:customStyle="1" w:styleId="HeaderChar">
    <w:name w:val="Header Char"/>
    <w:link w:val="Header"/>
    <w:rPr>
      <w:rFonts w:ascii="Times New Roman" w:eastAsia="SimSun" w:hAnsi="Times New Roman" w:cs="Times New Roman"/>
      <w:sz w:val="20"/>
      <w:szCs w:val="20"/>
      <w:lang w:val="en-US"/>
    </w:rPr>
  </w:style>
  <w:style w:type="paragraph" w:styleId="Header">
    <w:name w:val="header"/>
    <w:basedOn w:val="Normal"/>
    <w:link w:val="HeaderChar"/>
    <w:pPr>
      <w:tabs>
        <w:tab w:val="center" w:pos="4513"/>
        <w:tab w:val="right" w:pos="9026"/>
      </w:tabs>
    </w:pPr>
  </w:style>
  <w:style w:type="character" w:customStyle="1" w:styleId="FooterChar">
    <w:name w:val="Footer Char"/>
    <w:link w:val="Footer"/>
    <w:rPr>
      <w:rFonts w:ascii="Times New Roman" w:eastAsia="SimSun" w:hAnsi="Times New Roman" w:cs="Times New Roman"/>
      <w:sz w:val="20"/>
      <w:szCs w:val="20"/>
      <w:lang w:val="en-US"/>
    </w:rPr>
  </w:style>
  <w:style w:type="paragraph" w:styleId="Footer">
    <w:name w:val="footer"/>
    <w:basedOn w:val="Normal"/>
    <w:link w:val="FooterChar"/>
    <w:pPr>
      <w:tabs>
        <w:tab w:val="center" w:pos="4513"/>
        <w:tab w:val="right" w:pos="9026"/>
      </w:tabs>
    </w:pPr>
  </w:style>
  <w:style w:type="paragraph" w:customStyle="1" w:styleId="Stylepapertitle14pt">
    <w:name w:val="Style paper title + 14 pt"/>
    <w:basedOn w:val="Normal"/>
    <w:pPr>
      <w:spacing w:after="120"/>
    </w:pPr>
    <w:rPr>
      <w:rFonts w:eastAsia="MS Mincho"/>
      <w:noProof/>
      <w:sz w:val="24"/>
      <w:szCs w:val="48"/>
    </w:rPr>
  </w:style>
  <w:style w:type="paragraph" w:customStyle="1" w:styleId="StyleAuthorBold">
    <w:name w:val="Style Author + Bold"/>
    <w:basedOn w:val="Normal"/>
    <w:pPr>
      <w:spacing w:before="240" w:after="40"/>
    </w:pPr>
    <w:rPr>
      <w:b/>
      <w:bCs/>
      <w:noProof/>
      <w:sz w:val="22"/>
      <w:szCs w:val="22"/>
    </w:rPr>
  </w:style>
  <w:style w:type="paragraph" w:customStyle="1" w:styleId="Afiliasi">
    <w:name w:val="Afiliasi"/>
    <w:basedOn w:val="Normal"/>
    <w:pPr>
      <w:spacing w:before="40" w:after="40"/>
      <w:contextualSpacing/>
    </w:pPr>
    <w:rPr>
      <w:noProof/>
      <w:lang w:val="id-ID"/>
    </w:rPr>
  </w:style>
  <w:style w:type="character" w:styleId="Hyperlink">
    <w:name w:val="Hyperlink"/>
    <w:rPr>
      <w:color w:val="0000FF"/>
      <w:u w:val="single"/>
    </w:rPr>
  </w:style>
  <w:style w:type="paragraph" w:customStyle="1" w:styleId="abstrak">
    <w:name w:val="abstrak"/>
    <w:basedOn w:val="BodyText"/>
    <w:pPr>
      <w:spacing w:line="240" w:lineRule="auto"/>
      <w:ind w:left="567" w:right="567" w:firstLine="0"/>
    </w:pPr>
    <w:rPr>
      <w:szCs w:val="24"/>
    </w:rPr>
  </w:style>
  <w:style w:type="paragraph" w:styleId="ListParagraph">
    <w:name w:val="List Paragraph"/>
    <w:basedOn w:val="Normal"/>
    <w:link w:val="ListParagraphChar"/>
    <w:uiPriority w:val="34"/>
    <w:qFormat/>
    <w:pPr>
      <w:spacing w:after="160" w:line="259" w:lineRule="auto"/>
      <w:ind w:left="720"/>
      <w:contextualSpacing/>
      <w:jc w:val="left"/>
    </w:pPr>
    <w:rPr>
      <w:rFonts w:ascii="Calibri" w:eastAsia="Calibri" w:hAnsi="Calibri"/>
      <w:sz w:val="22"/>
      <w:szCs w:val="22"/>
      <w:lang w:val="id-ID"/>
    </w:rPr>
  </w:style>
  <w:style w:type="paragraph" w:customStyle="1" w:styleId="Affiliation">
    <w:name w:val="Affiliation"/>
    <w:pPr>
      <w:jc w:val="center"/>
    </w:pPr>
    <w:rPr>
      <w:rFonts w:ascii="Times New Roman" w:eastAsia="SimSun" w:hAnsi="Times New Roman"/>
      <w:lang w:val="en-US" w:eastAsia="en-US"/>
    </w:r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rFonts w:ascii="Times New Roman" w:eastAsia="SimSun" w:hAnsi="Times New Roman"/>
      <w:noProof/>
      <w:sz w:val="16"/>
      <w:szCs w:val="16"/>
      <w:lang w:val="en-US" w:eastAsia="en-US"/>
    </w:rPr>
  </w:style>
  <w:style w:type="paragraph" w:customStyle="1" w:styleId="tablefootnote">
    <w:name w:val="table footnote"/>
    <w:pPr>
      <w:spacing w:before="60" w:after="30"/>
      <w:jc w:val="right"/>
    </w:pPr>
    <w:rPr>
      <w:rFonts w:ascii="Times New Roman" w:eastAsia="SimSun" w:hAnsi="Times New Roman"/>
      <w:sz w:val="12"/>
      <w:szCs w:val="12"/>
      <w:lang w:val="en-US" w:eastAsia="en-US"/>
    </w:rPr>
  </w:style>
  <w:style w:type="character" w:customStyle="1" w:styleId="TitleChar">
    <w:name w:val="Title Char"/>
    <w:link w:val="Title"/>
    <w:rPr>
      <w:rFonts w:ascii="Calibri Light" w:eastAsia="Times New Roman" w:hAnsi="Calibri Light" w:cs="Times New Roman"/>
      <w:spacing w:val="-10"/>
      <w:kern w:val="28"/>
      <w:sz w:val="56"/>
      <w:szCs w:val="56"/>
      <w:lang w:val="en-US"/>
    </w:r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rPr>
  </w:style>
  <w:style w:type="paragraph" w:customStyle="1" w:styleId="DaftarPustaka">
    <w:name w:val="Daftar Pustaka"/>
    <w:basedOn w:val="Title"/>
    <w:pPr>
      <w:spacing w:before="120" w:after="120"/>
      <w:ind w:left="284" w:hanging="284"/>
      <w:contextualSpacing w:val="0"/>
      <w:jc w:val="both"/>
    </w:pPr>
    <w:rPr>
      <w:rFonts w:ascii="Times New Roman" w:hAnsi="Times New Roman"/>
      <w:noProof/>
      <w:spacing w:val="0"/>
      <w:kern w:val="0"/>
      <w:sz w:val="20"/>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w:link w:val="FootnoteText"/>
    <w:uiPriority w:val="99"/>
    <w:qFormat/>
    <w:rPr>
      <w:sz w:val="20"/>
      <w:szCs w:val="20"/>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w:basedOn w:val="Normal"/>
    <w:link w:val="FootnoteTextChar"/>
    <w:uiPriority w:val="99"/>
    <w:qFormat/>
    <w:pPr>
      <w:jc w:val="left"/>
    </w:pPr>
    <w:rPr>
      <w:rFonts w:ascii="Calibri" w:eastAsia="Calibri" w:hAnsi="Calibri"/>
      <w:lang w:val="id-ID"/>
    </w:rPr>
  </w:style>
  <w:style w:type="character" w:styleId="FootnoteReference">
    <w:name w:val="footnote reference"/>
    <w:uiPriority w:val="99"/>
    <w:qFormat/>
    <w:rPr>
      <w:rFonts w:ascii="Calibri" w:eastAsia="Calibri" w:hAnsi="Calibri" w:cs="Times New Roman"/>
      <w:vertAlign w:val="superscript"/>
    </w:rPr>
  </w:style>
  <w:style w:type="character" w:customStyle="1" w:styleId="NoSpacingChar">
    <w:name w:val="No Spacing Char"/>
    <w:link w:val="NoSpacing"/>
    <w:rPr>
      <w:rFonts w:eastAsia="Times New Roman"/>
      <w:sz w:val="22"/>
      <w:szCs w:val="22"/>
    </w:rPr>
  </w:style>
  <w:style w:type="paragraph" w:styleId="NoSpacing">
    <w:name w:val="No Spacing"/>
    <w:link w:val="NoSpacingChar"/>
    <w:pPr>
      <w:jc w:val="both"/>
    </w:pPr>
    <w:rPr>
      <w:rFonts w:eastAsia="Times New Roman"/>
      <w:sz w:val="22"/>
      <w:szCs w:val="22"/>
      <w:lang w:val="en-US" w:eastAsia="en-US"/>
    </w:rPr>
  </w:style>
  <w:style w:type="paragraph" w:styleId="BalloonText">
    <w:name w:val="Balloon Text"/>
    <w:basedOn w:val="Normal"/>
    <w:link w:val="BalloonTextChar"/>
    <w:uiPriority w:val="99"/>
    <w:semiHidden/>
    <w:unhideWhenUsed/>
    <w:rsid w:val="00A61065"/>
    <w:rPr>
      <w:rFonts w:ascii="Segoe UI" w:hAnsi="Segoe UI" w:cs="Segoe UI"/>
      <w:sz w:val="18"/>
      <w:szCs w:val="18"/>
    </w:rPr>
  </w:style>
  <w:style w:type="character" w:customStyle="1" w:styleId="BalloonTextChar">
    <w:name w:val="Balloon Text Char"/>
    <w:link w:val="BalloonText"/>
    <w:uiPriority w:val="99"/>
    <w:semiHidden/>
    <w:rsid w:val="00A61065"/>
    <w:rPr>
      <w:rFonts w:ascii="Segoe UI" w:eastAsia="SimSun" w:hAnsi="Segoe UI" w:cs="Segoe UI"/>
      <w:sz w:val="18"/>
      <w:szCs w:val="18"/>
      <w:lang w:val="en-US"/>
    </w:rPr>
  </w:style>
  <w:style w:type="character" w:customStyle="1" w:styleId="ListParagraphChar">
    <w:name w:val="List Paragraph Char"/>
    <w:link w:val="ListParagraph"/>
    <w:uiPriority w:val="34"/>
    <w:locked/>
    <w:rsid w:val="0014178F"/>
    <w:rPr>
      <w:sz w:val="22"/>
      <w:szCs w:val="22"/>
      <w:lang w:val="id-ID"/>
    </w:rPr>
  </w:style>
  <w:style w:type="paragraph" w:styleId="Bibliography">
    <w:name w:val="Bibliography"/>
    <w:basedOn w:val="Normal"/>
    <w:next w:val="Normal"/>
    <w:uiPriority w:val="37"/>
    <w:unhideWhenUsed/>
    <w:rsid w:val="003B5A7C"/>
  </w:style>
  <w:style w:type="character" w:customStyle="1" w:styleId="UnresolvedMention1">
    <w:name w:val="Unresolved Mention1"/>
    <w:uiPriority w:val="99"/>
    <w:semiHidden/>
    <w:unhideWhenUsed/>
    <w:rsid w:val="008E4D36"/>
    <w:rPr>
      <w:color w:val="605E5C"/>
      <w:shd w:val="clear" w:color="auto" w:fill="E1DFDD"/>
    </w:rPr>
  </w:style>
  <w:style w:type="character" w:styleId="CommentReference">
    <w:name w:val="annotation reference"/>
    <w:basedOn w:val="DefaultParagraphFont"/>
    <w:uiPriority w:val="99"/>
    <w:semiHidden/>
    <w:unhideWhenUsed/>
    <w:rsid w:val="0011514F"/>
    <w:rPr>
      <w:sz w:val="16"/>
      <w:szCs w:val="16"/>
    </w:rPr>
  </w:style>
  <w:style w:type="paragraph" w:styleId="CommentText">
    <w:name w:val="annotation text"/>
    <w:basedOn w:val="Normal"/>
    <w:link w:val="CommentTextChar"/>
    <w:uiPriority w:val="99"/>
    <w:semiHidden/>
    <w:unhideWhenUsed/>
    <w:rsid w:val="0011514F"/>
  </w:style>
  <w:style w:type="character" w:customStyle="1" w:styleId="CommentTextChar">
    <w:name w:val="Comment Text Char"/>
    <w:basedOn w:val="DefaultParagraphFont"/>
    <w:link w:val="CommentText"/>
    <w:uiPriority w:val="99"/>
    <w:semiHidden/>
    <w:rsid w:val="0011514F"/>
    <w:rPr>
      <w:rFonts w:ascii="Times New Roman" w:eastAsia="SimSun" w:hAnsi="Times New Roman"/>
      <w:lang w:val="en-US" w:eastAsia="en-US"/>
    </w:rPr>
  </w:style>
  <w:style w:type="paragraph" w:styleId="CommentSubject">
    <w:name w:val="annotation subject"/>
    <w:basedOn w:val="CommentText"/>
    <w:next w:val="CommentText"/>
    <w:link w:val="CommentSubjectChar"/>
    <w:uiPriority w:val="99"/>
    <w:semiHidden/>
    <w:unhideWhenUsed/>
    <w:rsid w:val="0011514F"/>
    <w:rPr>
      <w:b/>
      <w:bCs/>
    </w:rPr>
  </w:style>
  <w:style w:type="character" w:customStyle="1" w:styleId="CommentSubjectChar">
    <w:name w:val="Comment Subject Char"/>
    <w:basedOn w:val="CommentTextChar"/>
    <w:link w:val="CommentSubject"/>
    <w:uiPriority w:val="99"/>
    <w:semiHidden/>
    <w:rsid w:val="0011514F"/>
    <w:rPr>
      <w:rFonts w:ascii="Times New Roman" w:eastAsia="SimSu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01798">
      <w:bodyDiv w:val="1"/>
      <w:marLeft w:val="0"/>
      <w:marRight w:val="0"/>
      <w:marTop w:val="0"/>
      <w:marBottom w:val="0"/>
      <w:divBdr>
        <w:top w:val="none" w:sz="0" w:space="0" w:color="auto"/>
        <w:left w:val="none" w:sz="0" w:space="0" w:color="auto"/>
        <w:bottom w:val="none" w:sz="0" w:space="0" w:color="auto"/>
        <w:right w:val="none" w:sz="0" w:space="0" w:color="auto"/>
      </w:divBdr>
    </w:div>
    <w:div w:id="576133060">
      <w:bodyDiv w:val="1"/>
      <w:marLeft w:val="0"/>
      <w:marRight w:val="0"/>
      <w:marTop w:val="0"/>
      <w:marBottom w:val="0"/>
      <w:divBdr>
        <w:top w:val="none" w:sz="0" w:space="0" w:color="auto"/>
        <w:left w:val="none" w:sz="0" w:space="0" w:color="auto"/>
        <w:bottom w:val="none" w:sz="0" w:space="0" w:color="auto"/>
        <w:right w:val="none" w:sz="0" w:space="0" w:color="auto"/>
      </w:divBdr>
    </w:div>
    <w:div w:id="658465114">
      <w:bodyDiv w:val="1"/>
      <w:marLeft w:val="0"/>
      <w:marRight w:val="0"/>
      <w:marTop w:val="0"/>
      <w:marBottom w:val="0"/>
      <w:divBdr>
        <w:top w:val="none" w:sz="0" w:space="0" w:color="auto"/>
        <w:left w:val="none" w:sz="0" w:space="0" w:color="auto"/>
        <w:bottom w:val="none" w:sz="0" w:space="0" w:color="auto"/>
        <w:right w:val="none" w:sz="0" w:space="0" w:color="auto"/>
      </w:divBdr>
    </w:div>
    <w:div w:id="999119214">
      <w:bodyDiv w:val="1"/>
      <w:marLeft w:val="0"/>
      <w:marRight w:val="0"/>
      <w:marTop w:val="0"/>
      <w:marBottom w:val="0"/>
      <w:divBdr>
        <w:top w:val="none" w:sz="0" w:space="0" w:color="auto"/>
        <w:left w:val="none" w:sz="0" w:space="0" w:color="auto"/>
        <w:bottom w:val="none" w:sz="0" w:space="0" w:color="auto"/>
        <w:right w:val="none" w:sz="0" w:space="0" w:color="auto"/>
      </w:divBdr>
    </w:div>
    <w:div w:id="1065681890">
      <w:bodyDiv w:val="1"/>
      <w:marLeft w:val="0"/>
      <w:marRight w:val="0"/>
      <w:marTop w:val="0"/>
      <w:marBottom w:val="0"/>
      <w:divBdr>
        <w:top w:val="none" w:sz="0" w:space="0" w:color="auto"/>
        <w:left w:val="none" w:sz="0" w:space="0" w:color="auto"/>
        <w:bottom w:val="none" w:sz="0" w:space="0" w:color="auto"/>
        <w:right w:val="none" w:sz="0" w:space="0" w:color="auto"/>
      </w:divBdr>
    </w:div>
    <w:div w:id="1173762413">
      <w:bodyDiv w:val="1"/>
      <w:marLeft w:val="0"/>
      <w:marRight w:val="0"/>
      <w:marTop w:val="0"/>
      <w:marBottom w:val="0"/>
      <w:divBdr>
        <w:top w:val="none" w:sz="0" w:space="0" w:color="auto"/>
        <w:left w:val="none" w:sz="0" w:space="0" w:color="auto"/>
        <w:bottom w:val="none" w:sz="0" w:space="0" w:color="auto"/>
        <w:right w:val="none" w:sz="0" w:space="0" w:color="auto"/>
      </w:divBdr>
    </w:div>
    <w:div w:id="1218936661">
      <w:bodyDiv w:val="1"/>
      <w:marLeft w:val="0"/>
      <w:marRight w:val="0"/>
      <w:marTop w:val="0"/>
      <w:marBottom w:val="0"/>
      <w:divBdr>
        <w:top w:val="none" w:sz="0" w:space="0" w:color="auto"/>
        <w:left w:val="none" w:sz="0" w:space="0" w:color="auto"/>
        <w:bottom w:val="none" w:sz="0" w:space="0" w:color="auto"/>
        <w:right w:val="none" w:sz="0" w:space="0" w:color="auto"/>
      </w:divBdr>
    </w:div>
    <w:div w:id="1238050671">
      <w:bodyDiv w:val="1"/>
      <w:marLeft w:val="0"/>
      <w:marRight w:val="0"/>
      <w:marTop w:val="0"/>
      <w:marBottom w:val="0"/>
      <w:divBdr>
        <w:top w:val="none" w:sz="0" w:space="0" w:color="auto"/>
        <w:left w:val="none" w:sz="0" w:space="0" w:color="auto"/>
        <w:bottom w:val="none" w:sz="0" w:space="0" w:color="auto"/>
        <w:right w:val="none" w:sz="0" w:space="0" w:color="auto"/>
      </w:divBdr>
    </w:div>
    <w:div w:id="1324118160">
      <w:bodyDiv w:val="1"/>
      <w:marLeft w:val="0"/>
      <w:marRight w:val="0"/>
      <w:marTop w:val="0"/>
      <w:marBottom w:val="0"/>
      <w:divBdr>
        <w:top w:val="none" w:sz="0" w:space="0" w:color="auto"/>
        <w:left w:val="none" w:sz="0" w:space="0" w:color="auto"/>
        <w:bottom w:val="none" w:sz="0" w:space="0" w:color="auto"/>
        <w:right w:val="none" w:sz="0" w:space="0" w:color="auto"/>
      </w:divBdr>
    </w:div>
    <w:div w:id="1463839581">
      <w:bodyDiv w:val="1"/>
      <w:marLeft w:val="0"/>
      <w:marRight w:val="0"/>
      <w:marTop w:val="0"/>
      <w:marBottom w:val="0"/>
      <w:divBdr>
        <w:top w:val="none" w:sz="0" w:space="0" w:color="auto"/>
        <w:left w:val="none" w:sz="0" w:space="0" w:color="auto"/>
        <w:bottom w:val="none" w:sz="0" w:space="0" w:color="auto"/>
        <w:right w:val="none" w:sz="0" w:space="0" w:color="auto"/>
      </w:divBdr>
    </w:div>
    <w:div w:id="1613198972">
      <w:bodyDiv w:val="1"/>
      <w:marLeft w:val="0"/>
      <w:marRight w:val="0"/>
      <w:marTop w:val="0"/>
      <w:marBottom w:val="0"/>
      <w:divBdr>
        <w:top w:val="none" w:sz="0" w:space="0" w:color="auto"/>
        <w:left w:val="none" w:sz="0" w:space="0" w:color="auto"/>
        <w:bottom w:val="none" w:sz="0" w:space="0" w:color="auto"/>
        <w:right w:val="none" w:sz="0" w:space="0" w:color="auto"/>
      </w:divBdr>
    </w:div>
    <w:div w:id="1692029499">
      <w:bodyDiv w:val="1"/>
      <w:marLeft w:val="0"/>
      <w:marRight w:val="0"/>
      <w:marTop w:val="0"/>
      <w:marBottom w:val="0"/>
      <w:divBdr>
        <w:top w:val="none" w:sz="0" w:space="0" w:color="auto"/>
        <w:left w:val="none" w:sz="0" w:space="0" w:color="auto"/>
        <w:bottom w:val="none" w:sz="0" w:space="0" w:color="auto"/>
        <w:right w:val="none" w:sz="0" w:space="0" w:color="auto"/>
      </w:divBdr>
    </w:div>
    <w:div w:id="2091656530">
      <w:bodyDiv w:val="1"/>
      <w:marLeft w:val="0"/>
      <w:marRight w:val="0"/>
      <w:marTop w:val="0"/>
      <w:marBottom w:val="0"/>
      <w:divBdr>
        <w:top w:val="none" w:sz="0" w:space="0" w:color="auto"/>
        <w:left w:val="none" w:sz="0" w:space="0" w:color="auto"/>
        <w:bottom w:val="none" w:sz="0" w:space="0" w:color="auto"/>
        <w:right w:val="none" w:sz="0" w:space="0" w:color="auto"/>
      </w:divBdr>
    </w:div>
    <w:div w:id="2102096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2.%20ORDERAN%20BULANAN\2022\AVITA\avitafirdausi@mhs.unesa.ac.id"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ddoorz.Com/Id-Id/Te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Advokatkonstitusi.Com/Memecahkan-Konflik-Norma-Degan-Asas-Derogasi/" TargetMode="Externa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enysulistyowati@unesa.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Zai14</b:Tag>
    <b:SourceType>Book</b:SourceType>
    <b:Guid>{85E385FB-A8A1-4DCC-9E49-802FC6BE63E0}</b:Guid>
    <b:Author>
      <b:Author>
        <b:NameList>
          <b:Person>
            <b:Last>Ali</b:Last>
            <b:First>Zainudin</b:First>
          </b:Person>
        </b:NameList>
      </b:Author>
    </b:Author>
    <b:Title>metode penelitian hukum </b:Title>
    <b:Year>2014</b:Year>
    <b:City>jakarta</b:City>
    <b:Publisher>sinar grafika</b:Publisher>
    <b:RefOrder>1</b:RefOrder>
  </b:Source>
  <b:Source>
    <b:Tag>Ami04</b:Tag>
    <b:SourceType>Book</b:SourceType>
    <b:Guid>{19349523-709D-47EC-A112-E0D3C0BD2636}</b:Guid>
    <b:Author>
      <b:Author>
        <b:NameList>
          <b:Person>
            <b:Last>Asikin</b:Last>
            <b:First>Amiruddin</b:First>
            <b:Middle>dan Zainal</b:Middle>
          </b:Person>
        </b:NameList>
      </b:Author>
    </b:Author>
    <b:Title>Pengantar Metode Penelitian Hukum </b:Title>
    <b:Year>2004</b:Year>
    <b:City>Jakarta</b:City>
    <b:Publisher>Raja Grafindo Persada</b:Publisher>
    <b:RefOrder>2</b:RefOrder>
  </b:Source>
  <b:Source>
    <b:Tag>kad19</b:Tag>
    <b:SourceType>JournalArticle</b:SourceType>
    <b:Guid>{D8A4F93D-B54D-45A0-BEED-C03A28213CCA}</b:Guid>
    <b:Title>tinjauan yuridis mengenai antynomy normen antara undang-undang nomor 5 tahun 1960 tentang peraturan dasar-dasar pokok agraria dengan undang-undang nomor 25 tahun 2007 tentang penanaman modal terkait jangka waktu perolehan hak atas tanah </b:Title>
    <b:Year>2019</b:Year>
    <b:Author>
      <b:Author>
        <b:NameList>
          <b:Person>
            <b:Last>antari</b:Last>
            <b:First>kadek</b:First>
            <b:Middle>widya</b:Middle>
          </b:Person>
        </b:NameList>
      </b:Author>
    </b:Author>
    <b:JournalName>e-journal komunitas yustisia universitas pendidikan ganesha, vol 2 no 2</b:JournalName>
    <b:Pages>44</b:Pages>
    <b:RefOrder>3</b:RefOrder>
  </b:Source>
  <b:Source>
    <b:Tag>ida21</b:Tag>
    <b:SourceType>InternetSite</b:SourceType>
    <b:Guid>{079A6A3A-D9EC-4D8C-BC23-1B27DB9F2054}</b:Guid>
    <b:Title>advokat konstitusi</b:Title>
    <b:Year>2021</b:Year>
    <b:Author>
      <b:Author>
        <b:NameList>
          <b:Person>
            <b:Last>dhikshita</b:Last>
            <b:First>ida</b:First>
            <b:Middle>bagus gede putra agung</b:Middle>
          </b:Person>
        </b:NameList>
      </b:Author>
    </b:Author>
    <b:InternetSiteTitle>memecahkan konflik norma dengan asas derogasi </b:InternetSiteTitle>
    <b:Month>juni</b:Month>
    <b:Day>29</b:Day>
    <b:URL>https://advokatkonstitusi.com/memecahkan-konflik-norma-degan-asas-derogasi/#:~:text=Dalam%20bukunya%20%E2%80%9DAllgemeine%20der%20Normen,kompatibel%2Ftidak%20cocok%20sehingga%20mematuhi</b:URL>
    <b:RefOrder>4</b:RefOrder>
  </b:Source>
  <b:Source>
    <b:Tag>ahm04</b:Tag>
    <b:SourceType>Book</b:SourceType>
    <b:Guid>{DB6B8695-79F7-488C-ADA0-03B75547E3D7}</b:Guid>
    <b:Title>hukum perlindungan konsumen </b:Title>
    <b:Year>2004</b:Year>
    <b:Author>
      <b:Author>
        <b:NameList>
          <b:Person>
            <b:Last>yodo</b:Last>
            <b:First>ahmad</b:First>
            <b:Middle>miru dan sutarman</b:Middle>
          </b:Person>
        </b:NameList>
      </b:Author>
    </b:Author>
    <b:City>jakarta</b:City>
    <b:Publisher>raja grafindo persada</b:Publisher>
    <b:RefOrder>5</b:RefOrder>
  </b:Source>
  <b:Source>
    <b:Tag>dav07</b:Tag>
    <b:SourceType>Book</b:SourceType>
    <b:Guid>{34EAD423-9F5E-432D-A4EC-4DA420865828}</b:Guid>
    <b:Author>
      <b:Author>
        <b:NameList>
          <b:Person>
            <b:Last>Tobing</b:Last>
            <b:First>david</b:First>
          </b:Person>
        </b:NameList>
      </b:Author>
    </b:Author>
    <b:Title>hukum perlindungan konsumen</b:Title>
    <b:Year>2007</b:Year>
    <b:City>jakarta</b:City>
    <b:Publisher>timpani agung</b:Publisher>
    <b:RefOrder>6</b:RefOrder>
  </b:Source>
  <b:Source>
    <b:Tag>red</b:Tag>
    <b:SourceType>InternetSite</b:SourceType>
    <b:Guid>{935C9A53-3C17-4419-A185-A476A583A988}</b:Guid>
    <b:Title>reddoorz</b:Title>
    <b:InternetSiteTitle>terms and conditions</b:InternetSiteTitle>
    <b:URL>https://www.reddoorz.com/id-id/terms</b:URL>
    <b:RefOrder>7</b:RefOrder>
  </b:Source>
</b:Sources>
</file>

<file path=customXml/itemProps1.xml><?xml version="1.0" encoding="utf-8"?>
<ds:datastoreItem xmlns:ds="http://schemas.openxmlformats.org/officeDocument/2006/customXml" ds:itemID="{2BC7C1AC-0F67-4728-BDC5-79214DF0D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12742</Words>
  <Characters>72631</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85203</CharactersWithSpaces>
  <SharedDoc>false</SharedDoc>
  <HLinks>
    <vt:vector size="24" baseType="variant">
      <vt:variant>
        <vt:i4>458767</vt:i4>
      </vt:variant>
      <vt:variant>
        <vt:i4>75</vt:i4>
      </vt:variant>
      <vt:variant>
        <vt:i4>0</vt:i4>
      </vt:variant>
      <vt:variant>
        <vt:i4>5</vt:i4>
      </vt:variant>
      <vt:variant>
        <vt:lpwstr>https://www.reddoorz.com/Id-Id/Terms</vt:lpwstr>
      </vt:variant>
      <vt:variant>
        <vt:lpwstr/>
      </vt:variant>
      <vt:variant>
        <vt:i4>2818085</vt:i4>
      </vt:variant>
      <vt:variant>
        <vt:i4>72</vt:i4>
      </vt:variant>
      <vt:variant>
        <vt:i4>0</vt:i4>
      </vt:variant>
      <vt:variant>
        <vt:i4>5</vt:i4>
      </vt:variant>
      <vt:variant>
        <vt:lpwstr>https://advokatkonstitusi.com/Memecahkan-Konflik-Norma-Degan-Asas-Derogasi/</vt:lpwstr>
      </vt:variant>
      <vt:variant>
        <vt:lpwstr>:~:Text=Dalam%20bukunya%20%E2%80%9dallgemeine%20der%20Normen,Kompatibel%2Ftidak%20cocok%20sehingga%20mematuhi</vt:lpwstr>
      </vt:variant>
      <vt:variant>
        <vt:i4>2818123</vt:i4>
      </vt:variant>
      <vt:variant>
        <vt:i4>3</vt:i4>
      </vt:variant>
      <vt:variant>
        <vt:i4>0</vt:i4>
      </vt:variant>
      <vt:variant>
        <vt:i4>5</vt:i4>
      </vt:variant>
      <vt:variant>
        <vt:lpwstr>mailto:enysulistyowati@unesa.ac.id</vt:lpwstr>
      </vt:variant>
      <vt:variant>
        <vt:lpwstr/>
      </vt:variant>
      <vt:variant>
        <vt:i4>1769532</vt:i4>
      </vt:variant>
      <vt:variant>
        <vt:i4>0</vt:i4>
      </vt:variant>
      <vt:variant>
        <vt:i4>0</vt:i4>
      </vt:variant>
      <vt:variant>
        <vt:i4>5</vt:i4>
      </vt:variant>
      <vt:variant>
        <vt:lpwstr>avitafirdausi@mhs.unesa.ac.id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ASUS</cp:lastModifiedBy>
  <cp:revision>8</cp:revision>
  <dcterms:created xsi:type="dcterms:W3CDTF">2022-07-03T08:59:00Z</dcterms:created>
  <dcterms:modified xsi:type="dcterms:W3CDTF">2022-07-05T10:06:00Z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4d1825b8-58d3-32de-beb7-9b6da942ec4d</vt:lpwstr>
  </property>
  <property fmtid="{D5CDD505-2E9C-101B-9397-08002B2CF9AE}" pid="24" name="Mendeley Citation Style_1">
    <vt:lpwstr>http://www.zotero.org/styles/apa</vt:lpwstr>
  </property>
</Properties>
</file>