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24" w:lineRule="auto" w:before="74"/>
        <w:ind w:left="265" w:right="1137"/>
        <w:jc w:val="center"/>
      </w:pPr>
      <w:r>
        <w:rPr>
          <w:spacing w:val="-4"/>
        </w:rPr>
        <w:t>PERSEPSI MASYARAKAT PENERIMA</w:t>
      </w:r>
      <w:r>
        <w:rPr>
          <w:spacing w:val="-5"/>
        </w:rPr>
        <w:t> </w:t>
      </w:r>
      <w:r>
        <w:rPr>
          <w:spacing w:val="-4"/>
        </w:rPr>
        <w:t>MANFAAT PROGRAMPERBAIKANRUMAH </w:t>
      </w:r>
      <w:r>
        <w:rPr>
          <w:spacing w:val="-6"/>
        </w:rPr>
        <w:t>TIDAK</w:t>
      </w:r>
      <w:r>
        <w:rPr>
          <w:spacing w:val="-10"/>
        </w:rPr>
        <w:t> </w:t>
      </w:r>
      <w:r>
        <w:rPr>
          <w:spacing w:val="-6"/>
        </w:rPr>
        <w:t>LAYAKHUNI</w:t>
      </w:r>
      <w:r>
        <w:rPr>
          <w:spacing w:val="-15"/>
        </w:rPr>
        <w:t> </w:t>
      </w:r>
      <w:r>
        <w:rPr>
          <w:spacing w:val="-6"/>
        </w:rPr>
        <w:t>DI</w:t>
      </w:r>
      <w:r>
        <w:rPr>
          <w:spacing w:val="-16"/>
        </w:rPr>
        <w:t> </w:t>
      </w:r>
      <w:r>
        <w:rPr>
          <w:spacing w:val="-6"/>
        </w:rPr>
        <w:t>KELURAHANGENTENG</w:t>
      </w:r>
      <w:r>
        <w:rPr>
          <w:spacing w:val="-10"/>
        </w:rPr>
        <w:t> </w:t>
      </w:r>
      <w:r>
        <w:rPr>
          <w:spacing w:val="-6"/>
        </w:rPr>
        <w:t>DANKELURAHANTANAH</w:t>
      </w:r>
      <w:r>
        <w:rPr>
          <w:spacing w:val="-10"/>
        </w:rPr>
        <w:t> </w:t>
      </w:r>
      <w:r>
        <w:rPr>
          <w:spacing w:val="-6"/>
        </w:rPr>
        <w:t>KALI </w:t>
      </w:r>
      <w:r>
        <w:rPr/>
        <w:t>KEDINDING,</w:t>
      </w:r>
      <w:r>
        <w:rPr>
          <w:spacing w:val="-29"/>
        </w:rPr>
        <w:t> </w:t>
      </w:r>
      <w:r>
        <w:rPr/>
        <w:t>KOTASURABAYA</w:t>
      </w:r>
    </w:p>
    <w:p>
      <w:pPr>
        <w:pStyle w:val="BodyText"/>
        <w:spacing w:before="159"/>
        <w:jc w:val="left"/>
        <w:rPr>
          <w:b/>
        </w:rPr>
      </w:pPr>
    </w:p>
    <w:p>
      <w:pPr>
        <w:spacing w:before="0"/>
        <w:ind w:left="433" w:right="1137" w:firstLine="0"/>
        <w:jc w:val="center"/>
        <w:rPr>
          <w:b/>
          <w:sz w:val="20"/>
        </w:rPr>
      </w:pPr>
      <w:r>
        <w:rPr>
          <w:b/>
          <w:sz w:val="20"/>
        </w:rPr>
        <w:t>SITI</w:t>
      </w:r>
      <w:r>
        <w:rPr>
          <w:b/>
          <w:spacing w:val="-4"/>
          <w:sz w:val="20"/>
        </w:rPr>
        <w:t> </w:t>
      </w:r>
      <w:r>
        <w:rPr>
          <w:b/>
          <w:spacing w:val="-2"/>
          <w:sz w:val="20"/>
        </w:rPr>
        <w:t>KHOLIFAH</w:t>
      </w:r>
    </w:p>
    <w:p>
      <w:pPr>
        <w:pStyle w:val="BodyText"/>
        <w:spacing w:line="271" w:lineRule="auto" w:before="51"/>
        <w:ind w:left="933" w:right="1642"/>
        <w:jc w:val="center"/>
      </w:pPr>
      <w:r>
        <w:rPr/>
        <w:t>S1</w:t>
      </w:r>
      <w:r>
        <w:rPr>
          <w:spacing w:val="-12"/>
        </w:rPr>
        <w:t> </w:t>
      </w:r>
      <w:r>
        <w:rPr/>
        <w:t>Pendidikan</w:t>
      </w:r>
      <w:r>
        <w:rPr>
          <w:spacing w:val="-11"/>
        </w:rPr>
        <w:t> </w:t>
      </w:r>
      <w:r>
        <w:rPr/>
        <w:t>Geografi,</w:t>
      </w:r>
      <w:r>
        <w:rPr>
          <w:spacing w:val="-11"/>
        </w:rPr>
        <w:t> </w:t>
      </w:r>
      <w:r>
        <w:rPr/>
        <w:t>Fakultas</w:t>
      </w:r>
      <w:r>
        <w:rPr>
          <w:spacing w:val="-9"/>
        </w:rPr>
        <w:t> </w:t>
      </w:r>
      <w:r>
        <w:rPr/>
        <w:t>Ilmu</w:t>
      </w:r>
      <w:r>
        <w:rPr>
          <w:spacing w:val="-12"/>
        </w:rPr>
        <w:t> </w:t>
      </w:r>
      <w:r>
        <w:rPr/>
        <w:t>Sosial</w:t>
      </w:r>
      <w:r>
        <w:rPr>
          <w:spacing w:val="-7"/>
        </w:rPr>
        <w:t> </w:t>
      </w:r>
      <w:r>
        <w:rPr/>
        <w:t>dan</w:t>
      </w:r>
      <w:r>
        <w:rPr>
          <w:spacing w:val="-12"/>
        </w:rPr>
        <w:t> </w:t>
      </w:r>
      <w:r>
        <w:rPr/>
        <w:t>Politik,</w:t>
      </w:r>
      <w:r>
        <w:rPr>
          <w:spacing w:val="-11"/>
        </w:rPr>
        <w:t> </w:t>
      </w:r>
      <w:r>
        <w:rPr/>
        <w:t>Universitas</w:t>
      </w:r>
      <w:r>
        <w:rPr>
          <w:spacing w:val="-9"/>
        </w:rPr>
        <w:t> </w:t>
      </w:r>
      <w:r>
        <w:rPr/>
        <w:t>Negeri</w:t>
      </w:r>
      <w:r>
        <w:rPr>
          <w:spacing w:val="-7"/>
        </w:rPr>
        <w:t> </w:t>
      </w:r>
      <w:r>
        <w:rPr/>
        <w:t>Surabaya Email :</w:t>
      </w:r>
      <w:r>
        <w:rPr>
          <w:color w:val="0000FF"/>
          <w:u w:val="single" w:color="0000FF"/>
        </w:rPr>
        <w:t> siti.22062.mhs.unesa.ac.id</w:t>
      </w:r>
    </w:p>
    <w:p>
      <w:pPr>
        <w:pStyle w:val="BodyText"/>
        <w:spacing w:before="50"/>
        <w:jc w:val="left"/>
      </w:pPr>
    </w:p>
    <w:p>
      <w:pPr>
        <w:pStyle w:val="Heading2"/>
        <w:ind w:left="419" w:right="1137"/>
        <w:jc w:val="center"/>
      </w:pPr>
      <w:r>
        <w:rPr/>
        <w:t>Dr.</w:t>
      </w:r>
      <w:r>
        <w:rPr>
          <w:spacing w:val="-8"/>
        </w:rPr>
        <w:t> </w:t>
      </w:r>
      <w:r>
        <w:rPr/>
        <w:t>Muzayanah,</w:t>
      </w:r>
      <w:r>
        <w:rPr>
          <w:spacing w:val="-5"/>
        </w:rPr>
        <w:t> </w:t>
      </w:r>
      <w:r>
        <w:rPr>
          <w:spacing w:val="-4"/>
        </w:rPr>
        <w:t>M.T.</w:t>
      </w:r>
    </w:p>
    <w:p>
      <w:pPr>
        <w:pStyle w:val="BodyText"/>
        <w:spacing w:before="40"/>
        <w:ind w:left="425" w:right="1137"/>
        <w:jc w:val="center"/>
      </w:pPr>
      <w:r>
        <w:rPr/>
        <w:t>Dosen</w:t>
      </w:r>
      <w:r>
        <w:rPr>
          <w:spacing w:val="-3"/>
        </w:rPr>
        <w:t> </w:t>
      </w:r>
      <w:r>
        <w:rPr/>
        <w:t>Pembimbing</w:t>
      </w:r>
      <w:r>
        <w:rPr>
          <w:spacing w:val="-14"/>
        </w:rPr>
        <w:t> </w:t>
      </w:r>
      <w:r>
        <w:rPr>
          <w:spacing w:val="-2"/>
        </w:rPr>
        <w:t>Mahasiswa</w:t>
      </w:r>
    </w:p>
    <w:p>
      <w:pPr>
        <w:pStyle w:val="BodyText"/>
        <w:spacing w:before="40"/>
        <w:jc w:val="left"/>
      </w:pPr>
    </w:p>
    <w:p>
      <w:pPr>
        <w:pStyle w:val="Heading2"/>
        <w:ind w:left="-1" w:right="176"/>
        <w:jc w:val="center"/>
      </w:pPr>
      <w:r>
        <w:rPr/>
        <w:drawing>
          <wp:anchor distT="0" distB="0" distL="0" distR="0" allowOverlap="1" layoutInCell="1" locked="0" behindDoc="1" simplePos="0" relativeHeight="487184384">
            <wp:simplePos x="0" y="0"/>
            <wp:positionH relativeFrom="page">
              <wp:posOffset>1695500</wp:posOffset>
            </wp:positionH>
            <wp:positionV relativeFrom="paragraph">
              <wp:posOffset>197980</wp:posOffset>
            </wp:positionV>
            <wp:extent cx="4318406" cy="4935321"/>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318406" cy="4935321"/>
                    </a:xfrm>
                    <a:prstGeom prst="rect">
                      <a:avLst/>
                    </a:prstGeom>
                  </pic:spPr>
                </pic:pic>
              </a:graphicData>
            </a:graphic>
          </wp:anchor>
        </w:drawing>
      </w:r>
      <w:r>
        <w:rPr>
          <w:spacing w:val="-2"/>
        </w:rPr>
        <w:t>Abstrak</w:t>
      </w:r>
    </w:p>
    <w:p>
      <w:pPr>
        <w:pStyle w:val="BodyText"/>
        <w:spacing w:before="51"/>
        <w:jc w:val="left"/>
        <w:rPr>
          <w:b/>
        </w:rPr>
      </w:pPr>
    </w:p>
    <w:p>
      <w:pPr>
        <w:pStyle w:val="BodyText"/>
        <w:ind w:left="152" w:right="120" w:firstLine="720"/>
      </w:pPr>
      <w:r>
        <w:rPr/>
        <w:t>Program Perbaikan Rumah merupakan upaya Pemerintah Kota Surabaya untuk meningkatkan kualitas rumah</w:t>
      </w:r>
      <w:r>
        <w:rPr>
          <w:spacing w:val="-1"/>
        </w:rPr>
        <w:t> </w:t>
      </w:r>
      <w:r>
        <w:rPr/>
        <w:t>tidak</w:t>
      </w:r>
      <w:r>
        <w:rPr>
          <w:spacing w:val="-2"/>
        </w:rPr>
        <w:t> </w:t>
      </w:r>
      <w:r>
        <w:rPr/>
        <w:t>layak huni.</w:t>
      </w:r>
      <w:r>
        <w:rPr>
          <w:spacing w:val="-2"/>
        </w:rPr>
        <w:t> </w:t>
      </w:r>
      <w:r>
        <w:rPr/>
        <w:t>Kelurahan Genteng</w:t>
      </w:r>
      <w:r>
        <w:rPr>
          <w:spacing w:val="-2"/>
        </w:rPr>
        <w:t> </w:t>
      </w:r>
      <w:r>
        <w:rPr/>
        <w:t>dan Kelurahan</w:t>
      </w:r>
      <w:r>
        <w:rPr>
          <w:spacing w:val="-2"/>
        </w:rPr>
        <w:t> </w:t>
      </w:r>
      <w:r>
        <w:rPr/>
        <w:t>Tanah</w:t>
      </w:r>
      <w:r>
        <w:rPr>
          <w:spacing w:val="-2"/>
        </w:rPr>
        <w:t> </w:t>
      </w:r>
      <w:r>
        <w:rPr/>
        <w:t>Kali Kedinding</w:t>
      </w:r>
      <w:r>
        <w:rPr>
          <w:spacing w:val="-2"/>
        </w:rPr>
        <w:t> </w:t>
      </w:r>
      <w:r>
        <w:rPr/>
        <w:t>dipilih sebagai lokasi penelitian karena mewakili karakteristik permukiman yang berbeda, yaitu kawasan pusat kota dan kawasan permukiman di wilayah pinggiran kota atau daerah pesisir, sehingga memungkinkan analisis pengaruh karakteristik wilayah terhadap</w:t>
      </w:r>
      <w:r>
        <w:rPr>
          <w:spacing w:val="-13"/>
        </w:rPr>
        <w:t> </w:t>
      </w:r>
      <w:r>
        <w:rPr/>
        <w:t>persepsi</w:t>
      </w:r>
      <w:r>
        <w:rPr>
          <w:spacing w:val="-12"/>
        </w:rPr>
        <w:t> </w:t>
      </w:r>
      <w:r>
        <w:rPr/>
        <w:t>masyarakat</w:t>
      </w:r>
      <w:r>
        <w:rPr>
          <w:spacing w:val="-13"/>
        </w:rPr>
        <w:t> </w:t>
      </w:r>
      <w:r>
        <w:rPr/>
        <w:t>penerima</w:t>
      </w:r>
      <w:r>
        <w:rPr>
          <w:spacing w:val="-12"/>
        </w:rPr>
        <w:t> </w:t>
      </w:r>
      <w:r>
        <w:rPr/>
        <w:t>manfaat</w:t>
      </w:r>
      <w:r>
        <w:rPr>
          <w:spacing w:val="-5"/>
        </w:rPr>
        <w:t> </w:t>
      </w:r>
      <w:r>
        <w:rPr/>
        <w:t>program.</w:t>
      </w:r>
      <w:r>
        <w:rPr>
          <w:spacing w:val="-9"/>
        </w:rPr>
        <w:t> </w:t>
      </w:r>
      <w:r>
        <w:rPr/>
        <w:t>Penelitian</w:t>
      </w:r>
      <w:r>
        <w:rPr>
          <w:spacing w:val="-13"/>
        </w:rPr>
        <w:t> </w:t>
      </w:r>
      <w:r>
        <w:rPr/>
        <w:t>ini</w:t>
      </w:r>
      <w:r>
        <w:rPr>
          <w:spacing w:val="-4"/>
        </w:rPr>
        <w:t> </w:t>
      </w:r>
      <w:r>
        <w:rPr/>
        <w:t>bertujuan</w:t>
      </w:r>
      <w:r>
        <w:rPr>
          <w:spacing w:val="-9"/>
        </w:rPr>
        <w:t> </w:t>
      </w:r>
      <w:r>
        <w:rPr/>
        <w:t>menganalisis</w:t>
      </w:r>
      <w:r>
        <w:rPr>
          <w:spacing w:val="-8"/>
        </w:rPr>
        <w:t> </w:t>
      </w:r>
      <w:r>
        <w:rPr/>
        <w:t>persepsi</w:t>
      </w:r>
      <w:r>
        <w:rPr>
          <w:spacing w:val="-4"/>
        </w:rPr>
        <w:t> </w:t>
      </w:r>
      <w:r>
        <w:rPr/>
        <w:t>masyarakat penerima</w:t>
      </w:r>
      <w:r>
        <w:rPr>
          <w:spacing w:val="-9"/>
        </w:rPr>
        <w:t> </w:t>
      </w:r>
      <w:r>
        <w:rPr/>
        <w:t>manfaat,</w:t>
      </w:r>
      <w:r>
        <w:rPr>
          <w:spacing w:val="-10"/>
        </w:rPr>
        <w:t> </w:t>
      </w:r>
      <w:r>
        <w:rPr/>
        <w:t>perbedaan</w:t>
      </w:r>
      <w:r>
        <w:rPr>
          <w:spacing w:val="-10"/>
        </w:rPr>
        <w:t> </w:t>
      </w:r>
      <w:r>
        <w:rPr/>
        <w:t>persepsi</w:t>
      </w:r>
      <w:r>
        <w:rPr>
          <w:spacing w:val="-6"/>
        </w:rPr>
        <w:t> </w:t>
      </w:r>
      <w:r>
        <w:rPr/>
        <w:t>antara</w:t>
      </w:r>
      <w:r>
        <w:rPr>
          <w:spacing w:val="-9"/>
        </w:rPr>
        <w:t> </w:t>
      </w:r>
      <w:r>
        <w:rPr/>
        <w:t>kedua</w:t>
      </w:r>
      <w:r>
        <w:rPr>
          <w:spacing w:val="-9"/>
        </w:rPr>
        <w:t> </w:t>
      </w:r>
      <w:r>
        <w:rPr/>
        <w:t>kelurahan,</w:t>
      </w:r>
      <w:r>
        <w:rPr>
          <w:spacing w:val="-10"/>
        </w:rPr>
        <w:t> </w:t>
      </w:r>
      <w:r>
        <w:rPr/>
        <w:t>serta</w:t>
      </w:r>
      <w:r>
        <w:rPr>
          <w:spacing w:val="-9"/>
        </w:rPr>
        <w:t> </w:t>
      </w:r>
      <w:r>
        <w:rPr/>
        <w:t>faktor-faktor</w:t>
      </w:r>
      <w:r>
        <w:rPr>
          <w:spacing w:val="-7"/>
        </w:rPr>
        <w:t> </w:t>
      </w:r>
      <w:r>
        <w:rPr/>
        <w:t>yang</w:t>
      </w:r>
      <w:r>
        <w:rPr>
          <w:spacing w:val="-10"/>
        </w:rPr>
        <w:t> </w:t>
      </w:r>
      <w:r>
        <w:rPr/>
        <w:t>memengaruhinya.</w:t>
      </w:r>
      <w:r>
        <w:rPr>
          <w:spacing w:val="-10"/>
        </w:rPr>
        <w:t> </w:t>
      </w:r>
      <w:r>
        <w:rPr/>
        <w:t>Penelitian menggunakan pendekatan kuantitatif deskriptif dengan observasi dan wawancara sebagai data pendukung. Sampel penelitian berjumlah 28 responden yang ditentukan menggunakan teknik sampling jenuh. Data dianalisis menggunakan statistik deskriptif dan </w:t>
      </w:r>
      <w:r>
        <w:rPr>
          <w:i/>
        </w:rPr>
        <w:t>Independent Sample t-Test</w:t>
      </w:r>
      <w:r>
        <w:rPr/>
        <w:t>. Hasil penelitian menunjukkan bahwa persepsi masyarakat di kedua kelurahan berada pada kategori baik dan tidak terdapat perbedaan persepsi yang signifikan (Sig. =</w:t>
      </w:r>
      <w:r>
        <w:rPr>
          <w:spacing w:val="-3"/>
        </w:rPr>
        <w:t> </w:t>
      </w:r>
      <w:r>
        <w:rPr/>
        <w:t>0,240 &gt;</w:t>
      </w:r>
      <w:r>
        <w:rPr>
          <w:spacing w:val="-3"/>
        </w:rPr>
        <w:t> </w:t>
      </w:r>
      <w:r>
        <w:rPr/>
        <w:t>0,05). Meskipun demikian, rata-rata persepsi masyarakat di Kelurahan Tanah Kali Kedinding lebih tinggi</w:t>
      </w:r>
      <w:r>
        <w:rPr>
          <w:spacing w:val="-5"/>
        </w:rPr>
        <w:t> </w:t>
      </w:r>
      <w:r>
        <w:rPr/>
        <w:t>dibandingkan</w:t>
      </w:r>
      <w:r>
        <w:rPr>
          <w:spacing w:val="-9"/>
        </w:rPr>
        <w:t> </w:t>
      </w:r>
      <w:r>
        <w:rPr/>
        <w:t>dengan</w:t>
      </w:r>
      <w:r>
        <w:rPr>
          <w:spacing w:val="-9"/>
        </w:rPr>
        <w:t> </w:t>
      </w:r>
      <w:r>
        <w:rPr/>
        <w:t>Kelurahan</w:t>
      </w:r>
      <w:r>
        <w:rPr>
          <w:spacing w:val="-9"/>
        </w:rPr>
        <w:t> </w:t>
      </w:r>
      <w:r>
        <w:rPr/>
        <w:t>Genteng.</w:t>
      </w:r>
      <w:r>
        <w:rPr>
          <w:spacing w:val="-9"/>
        </w:rPr>
        <w:t> </w:t>
      </w:r>
      <w:r>
        <w:rPr/>
        <w:t>Perbedaan</w:t>
      </w:r>
      <w:r>
        <w:rPr>
          <w:spacing w:val="-9"/>
        </w:rPr>
        <w:t> </w:t>
      </w:r>
      <w:r>
        <w:rPr/>
        <w:t>tersebut</w:t>
      </w:r>
      <w:r>
        <w:rPr>
          <w:spacing w:val="-5"/>
        </w:rPr>
        <w:t> </w:t>
      </w:r>
      <w:r>
        <w:rPr/>
        <w:t>dipengaruhi</w:t>
      </w:r>
      <w:r>
        <w:rPr>
          <w:spacing w:val="-5"/>
        </w:rPr>
        <w:t> </w:t>
      </w:r>
      <w:r>
        <w:rPr/>
        <w:t>oleh</w:t>
      </w:r>
      <w:r>
        <w:rPr>
          <w:spacing w:val="-9"/>
        </w:rPr>
        <w:t> </w:t>
      </w:r>
      <w:r>
        <w:rPr/>
        <w:t>karakteristik</w:t>
      </w:r>
      <w:r>
        <w:rPr>
          <w:spacing w:val="-9"/>
        </w:rPr>
        <w:t> </w:t>
      </w:r>
      <w:r>
        <w:rPr/>
        <w:t>wilayah,</w:t>
      </w:r>
      <w:r>
        <w:rPr>
          <w:spacing w:val="-9"/>
        </w:rPr>
        <w:t> </w:t>
      </w:r>
      <w:r>
        <w:rPr/>
        <w:t>kondisi sosial ekonomi, dan kondisi lingkungan permukiman.</w:t>
      </w:r>
      <w:r>
        <w:rPr>
          <w:spacing w:val="-2"/>
        </w:rPr>
        <w:t> </w:t>
      </w:r>
      <w:r>
        <w:rPr/>
        <w:t>Masyarakat di Kelurahan Tanah Kali Kedinding merasakan manfaat program yang lebih besar dalam mengatasi permasalahan lingkungan, seperti genangan air, banjir, dan kerentanan kondisi rumah.</w:t>
      </w:r>
    </w:p>
    <w:p>
      <w:pPr>
        <w:pStyle w:val="BodyText"/>
        <w:spacing w:before="2"/>
        <w:jc w:val="left"/>
      </w:pPr>
    </w:p>
    <w:p>
      <w:pPr>
        <w:pStyle w:val="BodyText"/>
        <w:ind w:left="72"/>
        <w:jc w:val="left"/>
      </w:pPr>
      <w:r>
        <w:rPr>
          <w:b/>
        </w:rPr>
        <w:t>Kata</w:t>
      </w:r>
      <w:r>
        <w:rPr>
          <w:b/>
          <w:spacing w:val="-5"/>
        </w:rPr>
        <w:t> </w:t>
      </w:r>
      <w:r>
        <w:rPr>
          <w:b/>
        </w:rPr>
        <w:t>kunci:</w:t>
      </w:r>
      <w:r>
        <w:rPr>
          <w:b/>
          <w:spacing w:val="1"/>
        </w:rPr>
        <w:t> </w:t>
      </w:r>
      <w:r>
        <w:rPr/>
        <w:t>persepsi</w:t>
      </w:r>
      <w:r>
        <w:rPr>
          <w:spacing w:val="1"/>
        </w:rPr>
        <w:t> </w:t>
      </w:r>
      <w:r>
        <w:rPr/>
        <w:t>masyarakat,</w:t>
      </w:r>
      <w:r>
        <w:rPr>
          <w:spacing w:val="-2"/>
        </w:rPr>
        <w:t> </w:t>
      </w:r>
      <w:r>
        <w:rPr/>
        <w:t>Program</w:t>
      </w:r>
      <w:r>
        <w:rPr>
          <w:spacing w:val="1"/>
        </w:rPr>
        <w:t> </w:t>
      </w:r>
      <w:r>
        <w:rPr/>
        <w:t>Perbaikan</w:t>
      </w:r>
      <w:r>
        <w:rPr>
          <w:spacing w:val="-3"/>
        </w:rPr>
        <w:t> </w:t>
      </w:r>
      <w:r>
        <w:rPr/>
        <w:t>Rumah,</w:t>
      </w:r>
      <w:r>
        <w:rPr>
          <w:spacing w:val="-2"/>
        </w:rPr>
        <w:t> </w:t>
      </w:r>
      <w:r>
        <w:rPr/>
        <w:t>karakteristik</w:t>
      </w:r>
      <w:r>
        <w:rPr>
          <w:spacing w:val="-3"/>
        </w:rPr>
        <w:t> </w:t>
      </w:r>
      <w:r>
        <w:rPr/>
        <w:t>wilayah,</w:t>
      </w:r>
      <w:r>
        <w:rPr>
          <w:spacing w:val="-3"/>
        </w:rPr>
        <w:t> </w:t>
      </w:r>
      <w:r>
        <w:rPr/>
        <w:t>geografi</w:t>
      </w:r>
      <w:r>
        <w:rPr>
          <w:spacing w:val="2"/>
        </w:rPr>
        <w:t> </w:t>
      </w:r>
      <w:r>
        <w:rPr>
          <w:spacing w:val="-2"/>
        </w:rPr>
        <w:t>permukiman.</w:t>
      </w:r>
    </w:p>
    <w:p>
      <w:pPr>
        <w:spacing w:before="1"/>
        <w:ind w:left="72" w:right="0" w:firstLine="0"/>
        <w:jc w:val="left"/>
        <w:rPr>
          <w:sz w:val="20"/>
        </w:rPr>
      </w:pPr>
      <w:r>
        <w:rPr>
          <w:spacing w:val="-10"/>
          <w:sz w:val="20"/>
        </w:rPr>
        <w:t>.</w:t>
      </w:r>
    </w:p>
    <w:p>
      <w:pPr>
        <w:pStyle w:val="BodyText"/>
        <w:spacing w:before="50"/>
        <w:jc w:val="left"/>
      </w:pPr>
    </w:p>
    <w:p>
      <w:pPr>
        <w:pStyle w:val="Heading2"/>
        <w:ind w:left="-1" w:right="181"/>
        <w:jc w:val="center"/>
      </w:pPr>
      <w:r>
        <w:rPr>
          <w:spacing w:val="-2"/>
        </w:rPr>
        <w:t>Abstract</w:t>
      </w:r>
    </w:p>
    <w:p>
      <w:pPr>
        <w:pStyle w:val="BodyText"/>
        <w:jc w:val="left"/>
        <w:rPr>
          <w:b/>
        </w:rPr>
      </w:pPr>
    </w:p>
    <w:p>
      <w:pPr>
        <w:pStyle w:val="BodyText"/>
        <w:ind w:left="152" w:right="123" w:firstLine="720"/>
      </w:pPr>
      <w:r>
        <w:rPr/>
        <w:t>The Home Improvement Program is an</w:t>
      </w:r>
      <w:r>
        <w:rPr>
          <w:spacing w:val="-10"/>
        </w:rPr>
        <w:t> </w:t>
      </w:r>
      <w:r>
        <w:rPr/>
        <w:t>initiative of</w:t>
      </w:r>
      <w:r>
        <w:rPr>
          <w:spacing w:val="-7"/>
        </w:rPr>
        <w:t> </w:t>
      </w:r>
      <w:r>
        <w:rPr/>
        <w:t>the Surabaya City Government</w:t>
      </w:r>
      <w:r>
        <w:rPr>
          <w:spacing w:val="-6"/>
        </w:rPr>
        <w:t> </w:t>
      </w:r>
      <w:r>
        <w:rPr/>
        <w:t>to improve the quality of uninhabitable houses. Genteng Village and Tanah Kali Kedinding Village were selected as the study locations because they represent different settlement characteristics, namely an urban center area and a suburban/coastal settlement area,</w:t>
      </w:r>
      <w:r>
        <w:rPr>
          <w:spacing w:val="-2"/>
        </w:rPr>
        <w:t> </w:t>
      </w:r>
      <w:r>
        <w:rPr/>
        <w:t>enabling</w:t>
      </w:r>
      <w:r>
        <w:rPr>
          <w:spacing w:val="-2"/>
        </w:rPr>
        <w:t> </w:t>
      </w:r>
      <w:r>
        <w:rPr/>
        <w:t>an</w:t>
      </w:r>
      <w:r>
        <w:rPr>
          <w:spacing w:val="-2"/>
        </w:rPr>
        <w:t> </w:t>
      </w:r>
      <w:r>
        <w:rPr/>
        <w:t>analysis</w:t>
      </w:r>
      <w:r>
        <w:rPr>
          <w:spacing w:val="-1"/>
        </w:rPr>
        <w:t> </w:t>
      </w:r>
      <w:r>
        <w:rPr/>
        <w:t>of the</w:t>
      </w:r>
      <w:r>
        <w:rPr>
          <w:spacing w:val="-1"/>
        </w:rPr>
        <w:t> </w:t>
      </w:r>
      <w:r>
        <w:rPr/>
        <w:t>influence</w:t>
      </w:r>
      <w:r>
        <w:rPr>
          <w:spacing w:val="-1"/>
        </w:rPr>
        <w:t> </w:t>
      </w:r>
      <w:r>
        <w:rPr/>
        <w:t>of regional characteristics</w:t>
      </w:r>
      <w:r>
        <w:rPr>
          <w:spacing w:val="-1"/>
        </w:rPr>
        <w:t> </w:t>
      </w:r>
      <w:r>
        <w:rPr/>
        <w:t>on</w:t>
      </w:r>
      <w:r>
        <w:rPr>
          <w:spacing w:val="-2"/>
        </w:rPr>
        <w:t> </w:t>
      </w:r>
      <w:r>
        <w:rPr/>
        <w:t>beneficiaries' perceptions</w:t>
      </w:r>
      <w:r>
        <w:rPr>
          <w:spacing w:val="-1"/>
        </w:rPr>
        <w:t> </w:t>
      </w:r>
      <w:r>
        <w:rPr/>
        <w:t>of the program. This study aims to analyze beneficiaries' perceptions of the Home Improvement Program, identify differences in perceptions between the two villages, and examine the factors influencing these perceptions. The study</w:t>
      </w:r>
      <w:r>
        <w:rPr>
          <w:spacing w:val="-2"/>
        </w:rPr>
        <w:t> </w:t>
      </w:r>
      <w:r>
        <w:rPr/>
        <w:t>employed</w:t>
      </w:r>
      <w:r>
        <w:rPr>
          <w:spacing w:val="-12"/>
        </w:rPr>
        <w:t> </w:t>
      </w:r>
      <w:r>
        <w:rPr/>
        <w:t>a</w:t>
      </w:r>
      <w:r>
        <w:rPr>
          <w:spacing w:val="-1"/>
        </w:rPr>
        <w:t> </w:t>
      </w:r>
      <w:r>
        <w:rPr/>
        <w:t>descriptive</w:t>
      </w:r>
      <w:r>
        <w:rPr>
          <w:spacing w:val="-1"/>
        </w:rPr>
        <w:t> </w:t>
      </w:r>
      <w:r>
        <w:rPr/>
        <w:t>quantitative</w:t>
      </w:r>
      <w:r>
        <w:rPr>
          <w:spacing w:val="-1"/>
        </w:rPr>
        <w:t> </w:t>
      </w:r>
      <w:r>
        <w:rPr/>
        <w:t>approach,</w:t>
      </w:r>
      <w:r>
        <w:rPr>
          <w:spacing w:val="-12"/>
        </w:rPr>
        <w:t> </w:t>
      </w:r>
      <w:r>
        <w:rPr/>
        <w:t>supported</w:t>
      </w:r>
      <w:r>
        <w:rPr>
          <w:spacing w:val="-2"/>
        </w:rPr>
        <w:t> </w:t>
      </w:r>
      <w:r>
        <w:rPr/>
        <w:t>by</w:t>
      </w:r>
      <w:r>
        <w:rPr>
          <w:spacing w:val="-12"/>
        </w:rPr>
        <w:t> </w:t>
      </w:r>
      <w:r>
        <w:rPr/>
        <w:t>observation</w:t>
      </w:r>
      <w:r>
        <w:rPr>
          <w:spacing w:val="-12"/>
        </w:rPr>
        <w:t> </w:t>
      </w:r>
      <w:r>
        <w:rPr/>
        <w:t>and</w:t>
      </w:r>
      <w:r>
        <w:rPr>
          <w:spacing w:val="-12"/>
        </w:rPr>
        <w:t> </w:t>
      </w:r>
      <w:r>
        <w:rPr/>
        <w:t>interviews.</w:t>
      </w:r>
      <w:r>
        <w:rPr>
          <w:spacing w:val="-12"/>
        </w:rPr>
        <w:t> </w:t>
      </w:r>
      <w:r>
        <w:rPr/>
        <w:t>The</w:t>
      </w:r>
      <w:r>
        <w:rPr>
          <w:spacing w:val="-1"/>
        </w:rPr>
        <w:t> </w:t>
      </w:r>
      <w:r>
        <w:rPr/>
        <w:t>sample</w:t>
      </w:r>
      <w:r>
        <w:rPr>
          <w:spacing w:val="-11"/>
        </w:rPr>
        <w:t> </w:t>
      </w:r>
      <w:r>
        <w:rPr/>
        <w:t>consisted of 28</w:t>
      </w:r>
      <w:r>
        <w:rPr>
          <w:spacing w:val="-12"/>
        </w:rPr>
        <w:t> </w:t>
      </w:r>
      <w:r>
        <w:rPr/>
        <w:t>respondents</w:t>
      </w:r>
      <w:r>
        <w:rPr>
          <w:spacing w:val="-2"/>
        </w:rPr>
        <w:t> </w:t>
      </w:r>
      <w:r>
        <w:rPr/>
        <w:t>selected</w:t>
      </w:r>
      <w:r>
        <w:rPr>
          <w:spacing w:val="-3"/>
        </w:rPr>
        <w:t> </w:t>
      </w:r>
      <w:r>
        <w:rPr/>
        <w:t>using</w:t>
      </w:r>
      <w:r>
        <w:rPr>
          <w:spacing w:val="-12"/>
        </w:rPr>
        <w:t> </w:t>
      </w:r>
      <w:r>
        <w:rPr/>
        <w:t>a</w:t>
      </w:r>
      <w:r>
        <w:rPr>
          <w:spacing w:val="-2"/>
        </w:rPr>
        <w:t> </w:t>
      </w:r>
      <w:r>
        <w:rPr/>
        <w:t>saturated</w:t>
      </w:r>
      <w:r>
        <w:rPr>
          <w:spacing w:val="-3"/>
        </w:rPr>
        <w:t> </w:t>
      </w:r>
      <w:r>
        <w:rPr/>
        <w:t>sampling</w:t>
      </w:r>
      <w:r>
        <w:rPr>
          <w:spacing w:val="-12"/>
        </w:rPr>
        <w:t> </w:t>
      </w:r>
      <w:r>
        <w:rPr/>
        <w:t>technique.</w:t>
      </w:r>
      <w:r>
        <w:rPr>
          <w:spacing w:val="-3"/>
        </w:rPr>
        <w:t> </w:t>
      </w:r>
      <w:r>
        <w:rPr/>
        <w:t>Data</w:t>
      </w:r>
      <w:r>
        <w:rPr>
          <w:spacing w:val="-11"/>
        </w:rPr>
        <w:t> </w:t>
      </w:r>
      <w:r>
        <w:rPr/>
        <w:t>were</w:t>
      </w:r>
      <w:r>
        <w:rPr>
          <w:spacing w:val="-11"/>
        </w:rPr>
        <w:t> </w:t>
      </w:r>
      <w:r>
        <w:rPr/>
        <w:t>analyzed</w:t>
      </w:r>
      <w:r>
        <w:rPr>
          <w:spacing w:val="-12"/>
        </w:rPr>
        <w:t> </w:t>
      </w:r>
      <w:r>
        <w:rPr/>
        <w:t>using</w:t>
      </w:r>
      <w:r>
        <w:rPr>
          <w:spacing w:val="-3"/>
        </w:rPr>
        <w:t> </w:t>
      </w:r>
      <w:r>
        <w:rPr/>
        <w:t>descriptive</w:t>
      </w:r>
      <w:r>
        <w:rPr>
          <w:spacing w:val="-11"/>
        </w:rPr>
        <w:t> </w:t>
      </w:r>
      <w:r>
        <w:rPr/>
        <w:t>statistics</w:t>
      </w:r>
      <w:r>
        <w:rPr>
          <w:spacing w:val="-2"/>
        </w:rPr>
        <w:t> </w:t>
      </w:r>
      <w:r>
        <w:rPr/>
        <w:t>and the Independent Samples </w:t>
      </w:r>
      <w:r>
        <w:rPr>
          <w:i/>
        </w:rPr>
        <w:t>t</w:t>
      </w:r>
      <w:r>
        <w:rPr/>
        <w:t>-Test. The results indicate that beneficiaries' perceptions in both</w:t>
      </w:r>
      <w:r>
        <w:rPr>
          <w:spacing w:val="-1"/>
        </w:rPr>
        <w:t> </w:t>
      </w:r>
      <w:r>
        <w:rPr/>
        <w:t>villages fall within the good category, with no statistically significant difference between the</w:t>
      </w:r>
      <w:r>
        <w:rPr>
          <w:spacing w:val="-9"/>
        </w:rPr>
        <w:t> </w:t>
      </w:r>
      <w:r>
        <w:rPr/>
        <w:t>two villages (Sig. =</w:t>
      </w:r>
      <w:r>
        <w:rPr>
          <w:spacing w:val="-3"/>
        </w:rPr>
        <w:t> </w:t>
      </w:r>
      <w:r>
        <w:rPr/>
        <w:t>0.240 &gt;</w:t>
      </w:r>
      <w:r>
        <w:rPr>
          <w:spacing w:val="-3"/>
        </w:rPr>
        <w:t> </w:t>
      </w:r>
      <w:r>
        <w:rPr/>
        <w:t>0.05). However, the</w:t>
      </w:r>
      <w:r>
        <w:rPr>
          <w:spacing w:val="-8"/>
        </w:rPr>
        <w:t> </w:t>
      </w:r>
      <w:r>
        <w:rPr/>
        <w:t>mean</w:t>
      </w:r>
      <w:r>
        <w:rPr>
          <w:spacing w:val="-9"/>
        </w:rPr>
        <w:t> </w:t>
      </w:r>
      <w:r>
        <w:rPr/>
        <w:t>perception</w:t>
      </w:r>
      <w:r>
        <w:rPr>
          <w:spacing w:val="-9"/>
        </w:rPr>
        <w:t> </w:t>
      </w:r>
      <w:r>
        <w:rPr/>
        <w:t>score</w:t>
      </w:r>
      <w:r>
        <w:rPr>
          <w:spacing w:val="-8"/>
        </w:rPr>
        <w:t> </w:t>
      </w:r>
      <w:r>
        <w:rPr/>
        <w:t>in</w:t>
      </w:r>
      <w:r>
        <w:rPr>
          <w:spacing w:val="-9"/>
        </w:rPr>
        <w:t> </w:t>
      </w:r>
      <w:r>
        <w:rPr/>
        <w:t>Tanah</w:t>
      </w:r>
      <w:r>
        <w:rPr>
          <w:spacing w:val="-9"/>
        </w:rPr>
        <w:t> </w:t>
      </w:r>
      <w:r>
        <w:rPr/>
        <w:t>Kali</w:t>
      </w:r>
      <w:r>
        <w:rPr>
          <w:spacing w:val="-5"/>
        </w:rPr>
        <w:t> </w:t>
      </w:r>
      <w:r>
        <w:rPr/>
        <w:t>Kedinding</w:t>
      </w:r>
      <w:r>
        <w:rPr>
          <w:spacing w:val="-9"/>
        </w:rPr>
        <w:t> </w:t>
      </w:r>
      <w:r>
        <w:rPr/>
        <w:t>Village</w:t>
      </w:r>
      <w:r>
        <w:rPr>
          <w:spacing w:val="-8"/>
        </w:rPr>
        <w:t> </w:t>
      </w:r>
      <w:r>
        <w:rPr/>
        <w:t>was</w:t>
      </w:r>
      <w:r>
        <w:rPr>
          <w:spacing w:val="-8"/>
        </w:rPr>
        <w:t> </w:t>
      </w:r>
      <w:r>
        <w:rPr/>
        <w:t>higher</w:t>
      </w:r>
      <w:r>
        <w:rPr>
          <w:spacing w:val="-6"/>
        </w:rPr>
        <w:t> </w:t>
      </w:r>
      <w:r>
        <w:rPr/>
        <w:t>than</w:t>
      </w:r>
      <w:r>
        <w:rPr>
          <w:spacing w:val="-9"/>
        </w:rPr>
        <w:t> </w:t>
      </w:r>
      <w:r>
        <w:rPr/>
        <w:t>that</w:t>
      </w:r>
      <w:r>
        <w:rPr>
          <w:spacing w:val="-5"/>
        </w:rPr>
        <w:t> </w:t>
      </w:r>
      <w:r>
        <w:rPr/>
        <w:t>in</w:t>
      </w:r>
      <w:r>
        <w:rPr>
          <w:spacing w:val="-9"/>
        </w:rPr>
        <w:t> </w:t>
      </w:r>
      <w:r>
        <w:rPr/>
        <w:t>Genteng</w:t>
      </w:r>
      <w:r>
        <w:rPr>
          <w:spacing w:val="-9"/>
        </w:rPr>
        <w:t> </w:t>
      </w:r>
      <w:r>
        <w:rPr/>
        <w:t>Village.</w:t>
      </w:r>
      <w:r>
        <w:rPr>
          <w:spacing w:val="-9"/>
        </w:rPr>
        <w:t> </w:t>
      </w:r>
      <w:r>
        <w:rPr/>
        <w:t>This</w:t>
      </w:r>
      <w:r>
        <w:rPr>
          <w:spacing w:val="-8"/>
        </w:rPr>
        <w:t> </w:t>
      </w:r>
      <w:r>
        <w:rPr/>
        <w:t>difference is influenced by regional characteristics, socioeconomic conditions, and settlement environmental conditions. Beneficiaries in Tanah Kali Kedinding Village perceived greater program benefits in addressing environmental problems, such as waterlogging, flooding, and the vulnerability of housing conditions.</w:t>
      </w:r>
    </w:p>
    <w:p>
      <w:pPr>
        <w:pStyle w:val="BodyText"/>
        <w:spacing w:before="2"/>
        <w:jc w:val="left"/>
      </w:pPr>
    </w:p>
    <w:p>
      <w:pPr>
        <w:pStyle w:val="BodyText"/>
        <w:spacing w:before="1"/>
        <w:ind w:left="152"/>
        <w:jc w:val="left"/>
      </w:pPr>
      <w:r>
        <w:rPr>
          <w:b/>
        </w:rPr>
        <w:t>Keywords:</w:t>
      </w:r>
      <w:r>
        <w:rPr>
          <w:b/>
          <w:spacing w:val="-3"/>
        </w:rPr>
        <w:t> </w:t>
      </w:r>
      <w:r>
        <w:rPr/>
        <w:t>community</w:t>
      </w:r>
      <w:r>
        <w:rPr>
          <w:spacing w:val="-4"/>
        </w:rPr>
        <w:t> </w:t>
      </w:r>
      <w:r>
        <w:rPr/>
        <w:t>perception,</w:t>
      </w:r>
      <w:r>
        <w:rPr>
          <w:spacing w:val="-4"/>
        </w:rPr>
        <w:t> </w:t>
      </w:r>
      <w:r>
        <w:rPr/>
        <w:t>Home</w:t>
      </w:r>
      <w:r>
        <w:rPr>
          <w:spacing w:val="-3"/>
        </w:rPr>
        <w:t> </w:t>
      </w:r>
      <w:r>
        <w:rPr/>
        <w:t>Improvement Program,</w:t>
      </w:r>
      <w:r>
        <w:rPr>
          <w:spacing w:val="-4"/>
        </w:rPr>
        <w:t> </w:t>
      </w:r>
      <w:r>
        <w:rPr/>
        <w:t>regional characteristics,</w:t>
      </w:r>
      <w:r>
        <w:rPr>
          <w:spacing w:val="-4"/>
        </w:rPr>
        <w:t> </w:t>
      </w:r>
      <w:r>
        <w:rPr/>
        <w:t>settlement </w:t>
      </w:r>
      <w:r>
        <w:rPr>
          <w:spacing w:val="-2"/>
        </w:rPr>
        <w:t>geography.</w:t>
      </w:r>
    </w:p>
    <w:p>
      <w:pPr>
        <w:pStyle w:val="BodyText"/>
        <w:spacing w:after="0"/>
        <w:jc w:val="left"/>
        <w:sectPr>
          <w:footerReference w:type="default" r:id="rId5"/>
          <w:type w:val="continuous"/>
          <w:pgSz w:w="11920" w:h="16850"/>
          <w:pgMar w:header="0" w:footer="779" w:top="1040" w:bottom="960" w:left="1559" w:right="850"/>
          <w:pgNumType w:start="1"/>
        </w:sectPr>
      </w:pPr>
    </w:p>
    <w:p>
      <w:pPr>
        <w:pStyle w:val="Heading1"/>
        <w:ind w:left="137"/>
      </w:pPr>
      <w:r>
        <w:rPr>
          <w:spacing w:val="-2"/>
        </w:rPr>
        <w:t>PENDAHULUAN</w:t>
      </w:r>
    </w:p>
    <w:p>
      <w:pPr>
        <w:pStyle w:val="BodyText"/>
        <w:ind w:left="137" w:right="40" w:firstLine="570"/>
      </w:pPr>
      <w:r>
        <w:rPr/>
        <w:drawing>
          <wp:anchor distT="0" distB="0" distL="0" distR="0" allowOverlap="1" layoutInCell="1" locked="0" behindDoc="1" simplePos="0" relativeHeight="487184896">
            <wp:simplePos x="0" y="0"/>
            <wp:positionH relativeFrom="page">
              <wp:posOffset>1860189</wp:posOffset>
            </wp:positionH>
            <wp:positionV relativeFrom="paragraph">
              <wp:posOffset>1979072</wp:posOffset>
            </wp:positionV>
            <wp:extent cx="3841835" cy="4687953"/>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3841835" cy="4687953"/>
                    </a:xfrm>
                    <a:prstGeom prst="rect">
                      <a:avLst/>
                    </a:prstGeom>
                  </pic:spPr>
                </pic:pic>
              </a:graphicData>
            </a:graphic>
          </wp:anchor>
        </w:drawing>
      </w:r>
      <w:r>
        <w:rPr/>
        <w:t>Rumah merupakan salah satu kebutuhan dasar manusia yang berperan penting dalam menunjang kualitas hidup, kesehatan, keamanan, dan kesejahteraan masyarakat. Namun, rumah tidak layak huni (RTLH) masih menjadi permasalahan di berbagai wilayah perkotaan akibat kemiskinan, keterbatasan akses terhadap hunian yang layak, serta kondisi lingkungan permukiman yang beragam. Di Kota Surabaya, pembangunan perkotaan yang berkembang pesat belum sepenuhnya diikuti oleh pemerataan kualitas permukiman,</w:t>
      </w:r>
      <w:r>
        <w:rPr>
          <w:spacing w:val="-2"/>
        </w:rPr>
        <w:t> </w:t>
      </w:r>
      <w:r>
        <w:rPr/>
        <w:t>sehingga Perbaikan</w:t>
      </w:r>
      <w:r>
        <w:rPr>
          <w:spacing w:val="-2"/>
        </w:rPr>
        <w:t> </w:t>
      </w:r>
      <w:r>
        <w:rPr/>
        <w:t>Rumah</w:t>
      </w:r>
      <w:r>
        <w:rPr>
          <w:spacing w:val="-2"/>
        </w:rPr>
        <w:t> </w:t>
      </w:r>
      <w:r>
        <w:rPr/>
        <w:t>sebagai upaya meningkatkan kualitas hunian masyarakat berpenghasilan rendah melalui perbaikan fisik rumah dengan melibatkan partisipasi masyarakat. Tujuannya adalah untuk mensejahterakan masyarakat dengan terciptanya lingkungan yang sehat, aman, dan nyaman untuk kehidupan yang</w:t>
      </w:r>
      <w:r>
        <w:rPr>
          <w:spacing w:val="-5"/>
        </w:rPr>
        <w:t> </w:t>
      </w:r>
      <w:r>
        <w:rPr/>
        <w:t>berkualitas (Ismasudayanti et al., </w:t>
      </w:r>
      <w:r>
        <w:rPr>
          <w:spacing w:val="-2"/>
        </w:rPr>
        <w:t>2024).</w:t>
      </w:r>
    </w:p>
    <w:p>
      <w:pPr>
        <w:pStyle w:val="BodyText"/>
        <w:spacing w:before="3"/>
        <w:ind w:left="137" w:right="38" w:firstLine="360"/>
      </w:pPr>
      <w:r>
        <w:rPr/>
        <w:t>Permasalahan Rumah Tidak Layak Huni (RTLH) hingga</w:t>
      </w:r>
      <w:r>
        <w:rPr>
          <w:spacing w:val="-13"/>
        </w:rPr>
        <w:t> </w:t>
      </w:r>
      <w:r>
        <w:rPr/>
        <w:t>saat</w:t>
      </w:r>
      <w:r>
        <w:rPr>
          <w:spacing w:val="-12"/>
        </w:rPr>
        <w:t> </w:t>
      </w:r>
      <w:r>
        <w:rPr/>
        <w:t>ini</w:t>
      </w:r>
      <w:r>
        <w:rPr>
          <w:spacing w:val="-13"/>
        </w:rPr>
        <w:t> </w:t>
      </w:r>
      <w:r>
        <w:rPr/>
        <w:t>masih</w:t>
      </w:r>
      <w:r>
        <w:rPr>
          <w:spacing w:val="-12"/>
        </w:rPr>
        <w:t> </w:t>
      </w:r>
      <w:r>
        <w:rPr/>
        <w:t>menjadi</w:t>
      </w:r>
      <w:r>
        <w:rPr>
          <w:spacing w:val="-13"/>
        </w:rPr>
        <w:t> </w:t>
      </w:r>
      <w:r>
        <w:rPr/>
        <w:t>permasalahan</w:t>
      </w:r>
      <w:r>
        <w:rPr>
          <w:spacing w:val="-12"/>
        </w:rPr>
        <w:t> </w:t>
      </w:r>
      <w:r>
        <w:rPr/>
        <w:t>yang</w:t>
      </w:r>
      <w:r>
        <w:rPr>
          <w:spacing w:val="-13"/>
        </w:rPr>
        <w:t> </w:t>
      </w:r>
      <w:r>
        <w:rPr/>
        <w:t>krusial dalam pembangunan perkotaan di Indonesia. Rumah Tidak layak huni perlu mendapat perhatian lebih dari Pemerintah Kota setiap tahunnya, dikarenakan merupakan permasalahan yang terus berlanjut bahkan terus meningkat seirama dengan pertumbuhan penduduk, dinamika kependudukan dan tuntutan-tuntutan sosial ekonomi yang semakin berkembang (Irawan et al., 2024). Pertumbuhan penduduk di perkotaan yang pesat, kemiskinan, keterbatasan akses masyarakat terhadap hunian yang layak, serta kondisi spasial daerah menjadi faktor utama yang dapat memperparah kondisi hunian masyarakat. Kemiskinan masih menjadi permasalahan pembangunan yang kompleks di Indonesia karena tidak hanya berkaitan dengan rendahnya tingkat pendapatan, tetapi juga keterbatasan akses masyarakat terhadap pemenuhan kebutuhan dasar (Ginting et al., 2026). Hal tersebut berpeluang mendorongnya pertumbuhan permukiman informal yang berakibat pada meningkatnya jumlah kawasan permukiman kumuh, yang tidak hanya mencerminkan</w:t>
      </w:r>
      <w:r>
        <w:rPr>
          <w:spacing w:val="-2"/>
        </w:rPr>
        <w:t> </w:t>
      </w:r>
      <w:r>
        <w:rPr/>
        <w:t>ketimpangan</w:t>
      </w:r>
      <w:r>
        <w:rPr>
          <w:spacing w:val="-2"/>
        </w:rPr>
        <w:t> </w:t>
      </w:r>
      <w:r>
        <w:rPr/>
        <w:t>sosial ekonomi,</w:t>
      </w:r>
      <w:r>
        <w:rPr>
          <w:spacing w:val="-2"/>
        </w:rPr>
        <w:t> </w:t>
      </w:r>
      <w:r>
        <w:rPr/>
        <w:t>tetapi juga memperburuk kualitas lingkungan (Nursyifa &amp; Nareswar, 2025). Kuntjorowati (2021) dalam (Remalya et al.,</w:t>
      </w:r>
      <w:r>
        <w:rPr>
          <w:spacing w:val="-3"/>
        </w:rPr>
        <w:t> </w:t>
      </w:r>
      <w:r>
        <w:rPr/>
        <w:t>2024) menjelaskan</w:t>
      </w:r>
      <w:r>
        <w:rPr>
          <w:spacing w:val="-3"/>
        </w:rPr>
        <w:t> </w:t>
      </w:r>
      <w:r>
        <w:rPr/>
        <w:t>bahwa</w:t>
      </w:r>
      <w:r>
        <w:rPr>
          <w:spacing w:val="-2"/>
        </w:rPr>
        <w:t> </w:t>
      </w:r>
      <w:r>
        <w:rPr/>
        <w:t>rumah</w:t>
      </w:r>
      <w:r>
        <w:rPr>
          <w:spacing w:val="-3"/>
        </w:rPr>
        <w:t> </w:t>
      </w:r>
      <w:r>
        <w:rPr/>
        <w:t>yang</w:t>
      </w:r>
      <w:r>
        <w:rPr>
          <w:spacing w:val="-13"/>
        </w:rPr>
        <w:t> </w:t>
      </w:r>
      <w:r>
        <w:rPr/>
        <w:t>tidak</w:t>
      </w:r>
      <w:r>
        <w:rPr>
          <w:spacing w:val="-12"/>
        </w:rPr>
        <w:t> </w:t>
      </w:r>
      <w:r>
        <w:rPr/>
        <w:t>layak huni ialah rumah yang tidak memenuhi standar keamanan bangunan, memiliki luas di bawah standar minimum, dan tidak memenuhi persyaratan kesehatan. Permasalahan RTLH di wilayah perkotaan tidak hanya disebabkan oleh faktor ekonomi rumah tangga, tetapi juga berkaitan erat dengan kondisi lingkungan dan keterbatasan akses di wilayahnya (Nofrini et al., 2023). Kondisi kesejahteraan</w:t>
      </w:r>
      <w:r>
        <w:rPr>
          <w:spacing w:val="-2"/>
        </w:rPr>
        <w:t> </w:t>
      </w:r>
      <w:r>
        <w:rPr/>
        <w:t>masyarakat yang tinggal di suatu kawaasan dapat meningkat tergantung dari kualitas lingkungan kawasan yang dihuni (Emmanuel, 2012).</w:t>
      </w:r>
    </w:p>
    <w:p>
      <w:pPr>
        <w:pStyle w:val="BodyText"/>
        <w:spacing w:before="6"/>
        <w:ind w:left="137" w:right="38" w:firstLine="360"/>
      </w:pPr>
      <w:r>
        <w:rPr/>
        <w:t>Program Rumah Tidak Layak Huni dikelola oleh Dinas Perumahan Rakyat dan Kawasan Permukiman serta Pertanahan (DPRKPP) Kota Surabaya. Program perbaikan</w:t>
      </w:r>
      <w:r>
        <w:rPr>
          <w:spacing w:val="-10"/>
        </w:rPr>
        <w:t> </w:t>
      </w:r>
      <w:r>
        <w:rPr/>
        <w:t>rumah</w:t>
      </w:r>
      <w:r>
        <w:rPr>
          <w:spacing w:val="-10"/>
        </w:rPr>
        <w:t> </w:t>
      </w:r>
      <w:r>
        <w:rPr/>
        <w:t>ini</w:t>
      </w:r>
      <w:r>
        <w:rPr>
          <w:spacing w:val="-6"/>
        </w:rPr>
        <w:t> </w:t>
      </w:r>
      <w:r>
        <w:rPr/>
        <w:t>sejalan</w:t>
      </w:r>
      <w:r>
        <w:rPr>
          <w:spacing w:val="-10"/>
        </w:rPr>
        <w:t> </w:t>
      </w:r>
      <w:r>
        <w:rPr/>
        <w:t>dengan</w:t>
      </w:r>
      <w:r>
        <w:rPr>
          <w:spacing w:val="-10"/>
        </w:rPr>
        <w:t> </w:t>
      </w:r>
      <w:r>
        <w:rPr/>
        <w:t>Peraturan</w:t>
      </w:r>
      <w:r>
        <w:rPr>
          <w:spacing w:val="-10"/>
        </w:rPr>
        <w:t> </w:t>
      </w:r>
      <w:r>
        <w:rPr/>
        <w:t>Wali</w:t>
      </w:r>
      <w:r>
        <w:rPr>
          <w:spacing w:val="-6"/>
        </w:rPr>
        <w:t> </w:t>
      </w:r>
      <w:r>
        <w:rPr/>
        <w:t>Kota Surabaya Nomor 7 Tahun 2024 tentang Perubahan Kedua</w:t>
      </w:r>
      <w:r>
        <w:rPr>
          <w:spacing w:val="70"/>
        </w:rPr>
        <w:t> </w:t>
      </w:r>
      <w:r>
        <w:rPr/>
        <w:t>Atas</w:t>
      </w:r>
      <w:r>
        <w:rPr>
          <w:spacing w:val="75"/>
        </w:rPr>
        <w:t> </w:t>
      </w:r>
      <w:r>
        <w:rPr/>
        <w:t>Peraturan</w:t>
      </w:r>
      <w:r>
        <w:rPr>
          <w:spacing w:val="59"/>
        </w:rPr>
        <w:t> </w:t>
      </w:r>
      <w:r>
        <w:rPr/>
        <w:t>Walikota</w:t>
      </w:r>
      <w:r>
        <w:rPr>
          <w:spacing w:val="61"/>
        </w:rPr>
        <w:t> </w:t>
      </w:r>
      <w:r>
        <w:rPr/>
        <w:t>Surabaya</w:t>
      </w:r>
      <w:r>
        <w:rPr>
          <w:spacing w:val="66"/>
        </w:rPr>
        <w:t> </w:t>
      </w:r>
      <w:r>
        <w:rPr/>
        <w:t>Nomor</w:t>
      </w:r>
      <w:r>
        <w:rPr>
          <w:spacing w:val="75"/>
        </w:rPr>
        <w:t> </w:t>
      </w:r>
      <w:r>
        <w:rPr>
          <w:spacing w:val="-10"/>
        </w:rPr>
        <w:t>9</w:t>
      </w:r>
    </w:p>
    <w:p>
      <w:pPr>
        <w:pStyle w:val="BodyText"/>
        <w:spacing w:before="81"/>
        <w:ind w:left="137" w:right="270"/>
      </w:pPr>
      <w:r>
        <w:rPr/>
        <w:br w:type="column"/>
      </w:r>
      <w:r>
        <w:rPr/>
        <w:t>Tahun 2022 Tentang Rehabilitasi Sosial Rumah Tidak Layak</w:t>
      </w:r>
      <w:r>
        <w:rPr>
          <w:spacing w:val="-12"/>
        </w:rPr>
        <w:t> </w:t>
      </w:r>
      <w:r>
        <w:rPr/>
        <w:t>Huni</w:t>
      </w:r>
      <w:r>
        <w:rPr>
          <w:spacing w:val="-8"/>
        </w:rPr>
        <w:t> </w:t>
      </w:r>
      <w:r>
        <w:rPr/>
        <w:t>Kota</w:t>
      </w:r>
      <w:r>
        <w:rPr>
          <w:spacing w:val="-11"/>
        </w:rPr>
        <w:t> </w:t>
      </w:r>
      <w:r>
        <w:rPr/>
        <w:t>Surabaya.</w:t>
      </w:r>
      <w:r>
        <w:rPr>
          <w:spacing w:val="-12"/>
        </w:rPr>
        <w:t> </w:t>
      </w:r>
      <w:r>
        <w:rPr/>
        <w:t>Program</w:t>
      </w:r>
      <w:r>
        <w:rPr>
          <w:spacing w:val="-8"/>
        </w:rPr>
        <w:t> </w:t>
      </w:r>
      <w:r>
        <w:rPr/>
        <w:t>ini</w:t>
      </w:r>
      <w:r>
        <w:rPr>
          <w:spacing w:val="-8"/>
        </w:rPr>
        <w:t> </w:t>
      </w:r>
      <w:r>
        <w:rPr/>
        <w:t>bertujuan</w:t>
      </w:r>
      <w:r>
        <w:rPr>
          <w:spacing w:val="-12"/>
        </w:rPr>
        <w:t> </w:t>
      </w:r>
      <w:r>
        <w:rPr/>
        <w:t>untuk meningkatkan kualitas kondisi fisik rumah melalui bantuan material dengan melibatkan partisipasi dari masyarakat setempat sebagai Kelompok Teknis Perbaikan Rumah (KTPR).</w:t>
      </w:r>
    </w:p>
    <w:p>
      <w:pPr>
        <w:pStyle w:val="BodyText"/>
        <w:spacing w:before="1"/>
        <w:ind w:left="137" w:right="270" w:firstLine="360"/>
      </w:pPr>
      <w:r>
        <w:rPr/>
        <w:t>Karakteristik wilayah yang berbeda dapat memengaruhi</w:t>
      </w:r>
      <w:r>
        <w:rPr>
          <w:spacing w:val="-5"/>
        </w:rPr>
        <w:t> </w:t>
      </w:r>
      <w:r>
        <w:rPr/>
        <w:t>kebutuhan</w:t>
      </w:r>
      <w:r>
        <w:rPr>
          <w:spacing w:val="-7"/>
        </w:rPr>
        <w:t> </w:t>
      </w:r>
      <w:r>
        <w:rPr/>
        <w:t>masyarakat</w:t>
      </w:r>
      <w:r>
        <w:rPr>
          <w:spacing w:val="-3"/>
        </w:rPr>
        <w:t> </w:t>
      </w:r>
      <w:r>
        <w:rPr/>
        <w:t>serta</w:t>
      </w:r>
      <w:r>
        <w:rPr>
          <w:spacing w:val="-13"/>
        </w:rPr>
        <w:t> </w:t>
      </w:r>
      <w:r>
        <w:rPr/>
        <w:t>manfaat</w:t>
      </w:r>
      <w:r>
        <w:rPr>
          <w:spacing w:val="-3"/>
        </w:rPr>
        <w:t> </w:t>
      </w:r>
      <w:r>
        <w:rPr/>
        <w:t>yang dirasakan</w:t>
      </w:r>
      <w:r>
        <w:rPr>
          <w:spacing w:val="-13"/>
        </w:rPr>
        <w:t> </w:t>
      </w:r>
      <w:r>
        <w:rPr/>
        <w:t>dari</w:t>
      </w:r>
      <w:r>
        <w:rPr>
          <w:spacing w:val="-12"/>
        </w:rPr>
        <w:t> </w:t>
      </w:r>
      <w:r>
        <w:rPr/>
        <w:t>pelaksanaan</w:t>
      </w:r>
      <w:r>
        <w:rPr>
          <w:spacing w:val="-13"/>
        </w:rPr>
        <w:t> </w:t>
      </w:r>
      <w:r>
        <w:rPr/>
        <w:t>program.</w:t>
      </w:r>
      <w:r>
        <w:rPr>
          <w:spacing w:val="-12"/>
        </w:rPr>
        <w:t> </w:t>
      </w:r>
      <w:r>
        <w:rPr/>
        <w:t>Kelurahan</w:t>
      </w:r>
      <w:r>
        <w:rPr>
          <w:spacing w:val="-13"/>
        </w:rPr>
        <w:t> </w:t>
      </w:r>
      <w:r>
        <w:rPr/>
        <w:t>Genteng dipilih karena mewakili kawasan pusat kota dengan kepadatan</w:t>
      </w:r>
      <w:r>
        <w:rPr>
          <w:spacing w:val="-8"/>
        </w:rPr>
        <w:t> </w:t>
      </w:r>
      <w:r>
        <w:rPr/>
        <w:t>penduduk</w:t>
      </w:r>
      <w:r>
        <w:rPr>
          <w:spacing w:val="-13"/>
        </w:rPr>
        <w:t> </w:t>
      </w:r>
      <w:r>
        <w:rPr/>
        <w:t>tinggi</w:t>
      </w:r>
      <w:r>
        <w:rPr>
          <w:spacing w:val="-11"/>
        </w:rPr>
        <w:t> </w:t>
      </w:r>
      <w:r>
        <w:rPr/>
        <w:t>dan</w:t>
      </w:r>
      <w:r>
        <w:rPr>
          <w:spacing w:val="-6"/>
        </w:rPr>
        <w:t> </w:t>
      </w:r>
      <w:r>
        <w:rPr/>
        <w:t>infrastruktur</w:t>
      </w:r>
      <w:r>
        <w:rPr>
          <w:spacing w:val="-3"/>
        </w:rPr>
        <w:t> </w:t>
      </w:r>
      <w:r>
        <w:rPr/>
        <w:t>yang</w:t>
      </w:r>
      <w:r>
        <w:rPr>
          <w:spacing w:val="-6"/>
        </w:rPr>
        <w:t> </w:t>
      </w:r>
      <w:r>
        <w:rPr/>
        <w:t>relatif lengkap, sedangkan Kelurahan Tanah Kali Kedinding mewakili kawasan pinggiran sekaligus pesisir yang memiliki kerentanan</w:t>
      </w:r>
      <w:r>
        <w:rPr>
          <w:spacing w:val="-3"/>
        </w:rPr>
        <w:t> </w:t>
      </w:r>
      <w:r>
        <w:rPr/>
        <w:t>terhadap</w:t>
      </w:r>
      <w:r>
        <w:rPr>
          <w:spacing w:val="-3"/>
        </w:rPr>
        <w:t> </w:t>
      </w:r>
      <w:r>
        <w:rPr/>
        <w:t>genangan</w:t>
      </w:r>
      <w:r>
        <w:rPr>
          <w:spacing w:val="-3"/>
        </w:rPr>
        <w:t> </w:t>
      </w:r>
      <w:r>
        <w:rPr/>
        <w:t>dan</w:t>
      </w:r>
      <w:r>
        <w:rPr>
          <w:spacing w:val="-3"/>
        </w:rPr>
        <w:t> </w:t>
      </w:r>
      <w:r>
        <w:rPr/>
        <w:t>banjir</w:t>
      </w:r>
      <w:r>
        <w:rPr>
          <w:spacing w:val="-1"/>
        </w:rPr>
        <w:t> </w:t>
      </w:r>
      <w:r>
        <w:rPr/>
        <w:t>serta kualitas lingkungan permukiman yang lebih beragam. Penelitian terkait ruang Kota Surabaya menunjukkan adanya perbedaan karakter wilayah yang cukup jelas antara kawasan pusat kota dan kawasan pinggiran kota, yang terlihat pada kualitas lingkungan permukiman, tingkat kepadatan penduduk, serta kerentanan terhadap risiko lingkungan (Putra &amp; Rahman, 2021). Kondisi suatu lingkungan berbanding lurus dengan tingkat kesejahteraan msyarakat, semakin rendah kondisi kualitas lingkungan maka semakin rendah pula kesejahteraan masyarakat (Ma’rifah et al., 2022). Penelitian terdahulu mengenai kawasan pinggiran dan pesisir Kota Surabaya menunjukkan bahwa wilayah tersebut menghadapi permasalahan kepadatan permukiman yang tinggi, kualitas infrastruktur lingkungan yang belum optimal, serta kerentanan terhadap</w:t>
      </w:r>
      <w:r>
        <w:rPr>
          <w:spacing w:val="-12"/>
        </w:rPr>
        <w:t> </w:t>
      </w:r>
      <w:r>
        <w:rPr/>
        <w:t>risiko</w:t>
      </w:r>
      <w:r>
        <w:rPr>
          <w:spacing w:val="-11"/>
        </w:rPr>
        <w:t> </w:t>
      </w:r>
      <w:r>
        <w:rPr/>
        <w:t>lingkungan</w:t>
      </w:r>
      <w:r>
        <w:rPr>
          <w:spacing w:val="-12"/>
        </w:rPr>
        <w:t> </w:t>
      </w:r>
      <w:r>
        <w:rPr/>
        <w:t>(Sari et al.,</w:t>
      </w:r>
      <w:r>
        <w:rPr>
          <w:spacing w:val="-12"/>
        </w:rPr>
        <w:t> </w:t>
      </w:r>
      <w:r>
        <w:rPr/>
        <w:t>2020).</w:t>
      </w:r>
      <w:r>
        <w:rPr>
          <w:spacing w:val="-3"/>
        </w:rPr>
        <w:t> </w:t>
      </w:r>
      <w:r>
        <w:rPr/>
        <w:t>Perbedaan karakteristik tersebut memungkinkan analisis mengenai bagaimana kondisi wilayah memengaruhi persepsi masyarakat terhadap Program Perbaikan Rumah.</w:t>
      </w:r>
    </w:p>
    <w:p>
      <w:pPr>
        <w:pStyle w:val="BodyText"/>
        <w:spacing w:before="4"/>
        <w:ind w:left="137" w:right="276" w:firstLine="570"/>
      </w:pPr>
      <w:r>
        <w:rPr/>
        <w:t>Berbagai penelitian sebelumnya </w:t>
      </w:r>
      <w:r>
        <w:rPr/>
        <w:t>menunjukkan bahwa Program Perbaikan Rumah maupun program rehabilitasi</w:t>
      </w:r>
      <w:r>
        <w:rPr>
          <w:spacing w:val="-8"/>
        </w:rPr>
        <w:t> </w:t>
      </w:r>
      <w:r>
        <w:rPr/>
        <w:t>rumah</w:t>
      </w:r>
      <w:r>
        <w:rPr>
          <w:spacing w:val="-12"/>
        </w:rPr>
        <w:t> </w:t>
      </w:r>
      <w:r>
        <w:rPr/>
        <w:t>layak</w:t>
      </w:r>
      <w:r>
        <w:rPr>
          <w:spacing w:val="-2"/>
        </w:rPr>
        <w:t> </w:t>
      </w:r>
      <w:r>
        <w:rPr/>
        <w:t>huni telah</w:t>
      </w:r>
      <w:r>
        <w:rPr>
          <w:spacing w:val="-12"/>
        </w:rPr>
        <w:t> </w:t>
      </w:r>
      <w:r>
        <w:rPr/>
        <w:t>memberikan</w:t>
      </w:r>
      <w:r>
        <w:rPr>
          <w:spacing w:val="-12"/>
        </w:rPr>
        <w:t> </w:t>
      </w:r>
      <w:r>
        <w:rPr/>
        <w:t>dampak positif terhadap kualitas hunian, kesejahteraan, dan partisipasi masyarakat. Namun, penelitian terdahulu lebih banyak berfokus pada implementasi program, tingkat partisipasi masyarakat, atau dampak program secara umum. Kajian yang membandingkan persepsi masyarakat penerima manfaat berdasarkan perbedaan karakteristik wilayah permukiman, khususnya antara kawasan pusat kota dan kawasan pinggiran di Kota Surabaya, masih terbatas.</w:t>
      </w:r>
    </w:p>
    <w:p>
      <w:pPr>
        <w:pStyle w:val="BodyText"/>
        <w:spacing w:before="3"/>
        <w:ind w:left="137" w:right="276" w:firstLine="570"/>
      </w:pPr>
      <w:r>
        <w:rPr/>
        <w:t>Berdasarkan kondisi tersebut, penelitian ini bertujuan menganalisis persepsi masyarakat penerima manfaat Program Perbaikan Rumah di Kelurahan Genteng dan Kelurahan Tanah Kali Kedinding, menganalisis perbedaan persepsi antara kedua wilayah, serta mengidentifikasi faktor-faktor yang memengaruhi persepsi masyarakat. Hasil penelitian diharapkan dapat menjadi</w:t>
      </w:r>
      <w:r>
        <w:rPr>
          <w:spacing w:val="-9"/>
        </w:rPr>
        <w:t> </w:t>
      </w:r>
      <w:r>
        <w:rPr/>
        <w:t>masukan</w:t>
      </w:r>
      <w:r>
        <w:rPr>
          <w:spacing w:val="-12"/>
        </w:rPr>
        <w:t> </w:t>
      </w:r>
      <w:r>
        <w:rPr/>
        <w:t>bagi</w:t>
      </w:r>
      <w:r>
        <w:rPr>
          <w:spacing w:val="-9"/>
        </w:rPr>
        <w:t> </w:t>
      </w:r>
      <w:r>
        <w:rPr/>
        <w:t>Pemerintah</w:t>
      </w:r>
      <w:r>
        <w:rPr>
          <w:spacing w:val="-12"/>
        </w:rPr>
        <w:t> </w:t>
      </w:r>
      <w:r>
        <w:rPr/>
        <w:t>Kota</w:t>
      </w:r>
      <w:r>
        <w:rPr>
          <w:spacing w:val="-11"/>
        </w:rPr>
        <w:t> </w:t>
      </w:r>
      <w:r>
        <w:rPr/>
        <w:t>Surabaya</w:t>
      </w:r>
      <w:r>
        <w:rPr>
          <w:spacing w:val="-11"/>
        </w:rPr>
        <w:t> </w:t>
      </w:r>
      <w:r>
        <w:rPr/>
        <w:t>dalam mengembangkan</w:t>
      </w:r>
      <w:r>
        <w:rPr>
          <w:spacing w:val="-3"/>
        </w:rPr>
        <w:t> </w:t>
      </w:r>
      <w:r>
        <w:rPr/>
        <w:t>kebijakan</w:t>
      </w:r>
      <w:r>
        <w:rPr>
          <w:spacing w:val="-3"/>
        </w:rPr>
        <w:t> </w:t>
      </w:r>
      <w:r>
        <w:rPr/>
        <w:t>perbaikan</w:t>
      </w:r>
      <w:r>
        <w:rPr>
          <w:spacing w:val="-3"/>
        </w:rPr>
        <w:t> </w:t>
      </w:r>
      <w:r>
        <w:rPr/>
        <w:t>rumah</w:t>
      </w:r>
      <w:r>
        <w:rPr>
          <w:spacing w:val="-3"/>
        </w:rPr>
        <w:t> </w:t>
      </w:r>
      <w:r>
        <w:rPr/>
        <w:t>yang</w:t>
      </w:r>
      <w:r>
        <w:rPr>
          <w:spacing w:val="-3"/>
        </w:rPr>
        <w:t> </w:t>
      </w:r>
      <w:r>
        <w:rPr/>
        <w:t>lebih adaptif terhadap karakteristik wilayah permukiman sehingga</w:t>
      </w:r>
      <w:r>
        <w:rPr>
          <w:spacing w:val="-7"/>
        </w:rPr>
        <w:t> </w:t>
      </w:r>
      <w:r>
        <w:rPr/>
        <w:t>pelaksanaan</w:t>
      </w:r>
      <w:r>
        <w:rPr>
          <w:spacing w:val="-8"/>
        </w:rPr>
        <w:t> </w:t>
      </w:r>
      <w:r>
        <w:rPr/>
        <w:t>program</w:t>
      </w:r>
      <w:r>
        <w:rPr>
          <w:spacing w:val="-13"/>
        </w:rPr>
        <w:t> </w:t>
      </w:r>
      <w:r>
        <w:rPr/>
        <w:t>menjadi</w:t>
      </w:r>
      <w:r>
        <w:rPr>
          <w:spacing w:val="-12"/>
        </w:rPr>
        <w:t> </w:t>
      </w:r>
      <w:r>
        <w:rPr/>
        <w:t>lebih</w:t>
      </w:r>
      <w:r>
        <w:rPr>
          <w:spacing w:val="-8"/>
        </w:rPr>
        <w:t> </w:t>
      </w:r>
      <w:r>
        <w:rPr/>
        <w:t>efektif</w:t>
      </w:r>
      <w:r>
        <w:rPr>
          <w:spacing w:val="-5"/>
        </w:rPr>
        <w:t> </w:t>
      </w:r>
      <w:r>
        <w:rPr/>
        <w:t>dan </w:t>
      </w:r>
      <w:r>
        <w:rPr>
          <w:spacing w:val="-2"/>
        </w:rPr>
        <w:t>berkelanjutan.</w:t>
      </w:r>
    </w:p>
    <w:p>
      <w:pPr>
        <w:pStyle w:val="BodyText"/>
        <w:spacing w:after="0"/>
        <w:sectPr>
          <w:headerReference w:type="default" r:id="rId7"/>
          <w:footerReference w:type="default" r:id="rId8"/>
          <w:pgSz w:w="11910" w:h="16830"/>
          <w:pgMar w:header="442" w:footer="729" w:top="1300" w:bottom="920" w:left="1133" w:right="850"/>
          <w:cols w:num="2" w:equalWidth="0">
            <w:col w:w="4692" w:space="312"/>
            <w:col w:w="4923"/>
          </w:cols>
        </w:sectPr>
      </w:pPr>
    </w:p>
    <w:p>
      <w:pPr>
        <w:pStyle w:val="Heading1"/>
        <w:ind w:left="137"/>
      </w:pPr>
      <w:r>
        <w:rPr>
          <w:spacing w:val="-2"/>
        </w:rPr>
        <w:t>METODE</w:t>
      </w:r>
    </w:p>
    <w:p>
      <w:pPr>
        <w:pStyle w:val="BodyText"/>
        <w:ind w:left="137" w:right="38" w:firstLine="440"/>
      </w:pPr>
      <w:r>
        <w:rPr/>
        <w:drawing>
          <wp:anchor distT="0" distB="0" distL="0" distR="0" allowOverlap="1" layoutInCell="1" locked="0" behindDoc="1" simplePos="0" relativeHeight="487185408">
            <wp:simplePos x="0" y="0"/>
            <wp:positionH relativeFrom="page">
              <wp:posOffset>1860189</wp:posOffset>
            </wp:positionH>
            <wp:positionV relativeFrom="paragraph">
              <wp:posOffset>1979072</wp:posOffset>
            </wp:positionV>
            <wp:extent cx="3841835" cy="4687953"/>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3841835" cy="4687953"/>
                    </a:xfrm>
                    <a:prstGeom prst="rect">
                      <a:avLst/>
                    </a:prstGeom>
                  </pic:spPr>
                </pic:pic>
              </a:graphicData>
            </a:graphic>
          </wp:anchor>
        </w:drawing>
      </w:r>
      <w:r>
        <w:rPr/>
        <w:t>Penelitian</w:t>
      </w:r>
      <w:r>
        <w:rPr>
          <w:spacing w:val="-13"/>
        </w:rPr>
        <w:t> </w:t>
      </w:r>
      <w:r>
        <w:rPr/>
        <w:t>ini</w:t>
      </w:r>
      <w:r>
        <w:rPr>
          <w:spacing w:val="-10"/>
        </w:rPr>
        <w:t> </w:t>
      </w:r>
      <w:r>
        <w:rPr/>
        <w:t>menggunakan</w:t>
      </w:r>
      <w:r>
        <w:rPr>
          <w:spacing w:val="-4"/>
        </w:rPr>
        <w:t> </w:t>
      </w:r>
      <w:r>
        <w:rPr/>
        <w:t>pendekatan</w:t>
      </w:r>
      <w:r>
        <w:rPr>
          <w:spacing w:val="-4"/>
        </w:rPr>
        <w:t> </w:t>
      </w:r>
      <w:r>
        <w:rPr/>
        <w:t>kuantitatif dengan jenis penelitian deskriptif yang didukung oleh data kualitatif berupa observasi dan wawancara. Penelitian dilaksanakan di Kelurahan Genteng dan Kelurahan Tanah Kali Kedinding, Kota Surabaya. Pemilihan lokasi didasarkan pada perbedaan karakteristik wilayah, di mana Kelurahan Genteng mewakili kawasan pusat kota, sedangkan Kelurahan Tanah Kali Kedinding mewakili kawasan pinggiran/pesisir. Populasi penelitian adalah seluruh penerima manfaat Program Perbaikan Rumah Tahun 2024 di kedua kelurahan yang berjumlah 28 orang, terdiri atas 14 penerima manfaat di Kelurahan Genteng dan 14 penerima manfaat di Kelurahan Tanah Kali Kedinding. Teknik pengambilan sampel menggunakan teknik </w:t>
      </w:r>
      <w:r>
        <w:rPr>
          <w:b/>
        </w:rPr>
        <w:t>sampling jenuh</w:t>
      </w:r>
      <w:r>
        <w:rPr/>
        <w:t>, sehingga seluruh populasi dijadikan responden penelitian.</w:t>
      </w:r>
    </w:p>
    <w:p>
      <w:pPr>
        <w:pStyle w:val="BodyText"/>
        <w:spacing w:before="3"/>
        <w:ind w:left="137" w:right="38" w:firstLine="440"/>
      </w:pPr>
      <w:r>
        <w:rPr/>
        <w:t>Pengumpulan data dilakukan melalui kuesioner, observasi, dan wawancara semi terstruktur. Kuesioner menggunakan</w:t>
      </w:r>
      <w:r>
        <w:rPr>
          <w:spacing w:val="-3"/>
        </w:rPr>
        <w:t> </w:t>
      </w:r>
      <w:r>
        <w:rPr/>
        <w:t>skala</w:t>
      </w:r>
      <w:r>
        <w:rPr>
          <w:spacing w:val="-2"/>
        </w:rPr>
        <w:t> </w:t>
      </w:r>
      <w:r>
        <w:rPr/>
        <w:t>Likert lima</w:t>
      </w:r>
      <w:r>
        <w:rPr>
          <w:spacing w:val="-11"/>
        </w:rPr>
        <w:t> </w:t>
      </w:r>
      <w:r>
        <w:rPr/>
        <w:t>tingkat untuk</w:t>
      </w:r>
      <w:r>
        <w:rPr>
          <w:spacing w:val="-12"/>
        </w:rPr>
        <w:t> </w:t>
      </w:r>
      <w:r>
        <w:rPr/>
        <w:t>mengukur kecenderungan persepsi masyarakat terhadap lima indikator,</w:t>
      </w:r>
      <w:r>
        <w:rPr>
          <w:spacing w:val="-13"/>
        </w:rPr>
        <w:t> </w:t>
      </w:r>
      <w:r>
        <w:rPr/>
        <w:t>yaitu</w:t>
      </w:r>
      <w:r>
        <w:rPr>
          <w:spacing w:val="-12"/>
        </w:rPr>
        <w:t> </w:t>
      </w:r>
      <w:r>
        <w:rPr/>
        <w:t>pelaksanaan</w:t>
      </w:r>
      <w:r>
        <w:rPr>
          <w:spacing w:val="-13"/>
        </w:rPr>
        <w:t> </w:t>
      </w:r>
      <w:r>
        <w:rPr/>
        <w:t>program,</w:t>
      </w:r>
      <w:r>
        <w:rPr>
          <w:spacing w:val="-12"/>
        </w:rPr>
        <w:t> </w:t>
      </w:r>
      <w:r>
        <w:rPr/>
        <w:t>perubahan</w:t>
      </w:r>
      <w:r>
        <w:rPr>
          <w:spacing w:val="-13"/>
        </w:rPr>
        <w:t> </w:t>
      </w:r>
      <w:r>
        <w:rPr/>
        <w:t>kondisi fisik</w:t>
      </w:r>
      <w:r>
        <w:rPr>
          <w:spacing w:val="-13"/>
        </w:rPr>
        <w:t> </w:t>
      </w:r>
      <w:r>
        <w:rPr/>
        <w:t>rumah,</w:t>
      </w:r>
      <w:r>
        <w:rPr>
          <w:spacing w:val="-12"/>
        </w:rPr>
        <w:t> </w:t>
      </w:r>
      <w:r>
        <w:rPr/>
        <w:t>kenyamanan</w:t>
      </w:r>
      <w:r>
        <w:rPr>
          <w:spacing w:val="-13"/>
        </w:rPr>
        <w:t> </w:t>
      </w:r>
      <w:r>
        <w:rPr/>
        <w:t>dan</w:t>
      </w:r>
      <w:r>
        <w:rPr>
          <w:spacing w:val="-12"/>
        </w:rPr>
        <w:t> </w:t>
      </w:r>
      <w:r>
        <w:rPr/>
        <w:t>keamanan</w:t>
      </w:r>
      <w:r>
        <w:rPr>
          <w:spacing w:val="-13"/>
        </w:rPr>
        <w:t> </w:t>
      </w:r>
      <w:r>
        <w:rPr/>
        <w:t>hunian,</w:t>
      </w:r>
      <w:r>
        <w:rPr>
          <w:spacing w:val="-12"/>
        </w:rPr>
        <w:t> </w:t>
      </w:r>
      <w:r>
        <w:rPr/>
        <w:t>manfaat program, serta kepuasan dan keberlanjutan program. Sebelum digunakan, instrumen penelitian telah divalidasi melalui </w:t>
      </w:r>
      <w:r>
        <w:rPr>
          <w:i/>
        </w:rPr>
        <w:t>expert judgment</w:t>
      </w:r>
      <w:r>
        <w:rPr/>
        <w:t>. Observasi dan wawancara digunakan sebagai data pendukung untuk memperkuat interpretasi hasil penelitian.</w:t>
      </w:r>
    </w:p>
    <w:p>
      <w:pPr>
        <w:pStyle w:val="BodyText"/>
        <w:spacing w:before="2"/>
        <w:ind w:left="137" w:right="40" w:firstLine="440"/>
      </w:pPr>
      <w:r>
        <w:rPr/>
        <w:t>Data dianalisis menggunakan statistik deskriptif untuk</w:t>
      </w:r>
      <w:r>
        <w:rPr>
          <w:spacing w:val="-13"/>
        </w:rPr>
        <w:t> </w:t>
      </w:r>
      <w:r>
        <w:rPr/>
        <w:t>menggambarkan</w:t>
      </w:r>
      <w:r>
        <w:rPr>
          <w:spacing w:val="-12"/>
        </w:rPr>
        <w:t> </w:t>
      </w:r>
      <w:r>
        <w:rPr/>
        <w:t>tingkat</w:t>
      </w:r>
      <w:r>
        <w:rPr>
          <w:spacing w:val="-13"/>
        </w:rPr>
        <w:t> </w:t>
      </w:r>
      <w:r>
        <w:rPr/>
        <w:t>persepsi</w:t>
      </w:r>
      <w:r>
        <w:rPr>
          <w:spacing w:val="-12"/>
        </w:rPr>
        <w:t> </w:t>
      </w:r>
      <w:r>
        <w:rPr/>
        <w:t>masyarakat</w:t>
      </w:r>
      <w:r>
        <w:rPr>
          <w:spacing w:val="-13"/>
        </w:rPr>
        <w:t> </w:t>
      </w:r>
      <w:r>
        <w:rPr/>
        <w:t>pada setiap indikator. Selanjutnya, uji </w:t>
      </w:r>
      <w:r>
        <w:rPr>
          <w:b/>
          <w:i/>
        </w:rPr>
        <w:t>Independent Samples t-Tes</w:t>
      </w:r>
      <w:r>
        <w:rPr>
          <w:b/>
        </w:rPr>
        <w:t>t</w:t>
      </w:r>
      <w:r>
        <w:rPr>
          <w:b/>
          <w:spacing w:val="-13"/>
        </w:rPr>
        <w:t> </w:t>
      </w:r>
      <w:r>
        <w:rPr/>
        <w:t>digunakan</w:t>
      </w:r>
      <w:r>
        <w:rPr>
          <w:spacing w:val="-12"/>
        </w:rPr>
        <w:t> </w:t>
      </w:r>
      <w:r>
        <w:rPr/>
        <w:t>untuk</w:t>
      </w:r>
      <w:r>
        <w:rPr>
          <w:spacing w:val="-13"/>
        </w:rPr>
        <w:t> </w:t>
      </w:r>
      <w:r>
        <w:rPr/>
        <w:t>menganalisis</w:t>
      </w:r>
      <w:r>
        <w:rPr>
          <w:spacing w:val="-12"/>
        </w:rPr>
        <w:t> </w:t>
      </w:r>
      <w:r>
        <w:rPr/>
        <w:t>perbedaan</w:t>
      </w:r>
      <w:r>
        <w:rPr>
          <w:spacing w:val="-13"/>
        </w:rPr>
        <w:t> </w:t>
      </w:r>
      <w:r>
        <w:rPr/>
        <w:t>persepsi masyarakat</w:t>
      </w:r>
      <w:r>
        <w:rPr>
          <w:spacing w:val="-13"/>
        </w:rPr>
        <w:t> </w:t>
      </w:r>
      <w:r>
        <w:rPr/>
        <w:t>penerima</w:t>
      </w:r>
      <w:r>
        <w:rPr>
          <w:spacing w:val="-12"/>
        </w:rPr>
        <w:t> </w:t>
      </w:r>
      <w:r>
        <w:rPr/>
        <w:t>manfaat</w:t>
      </w:r>
      <w:r>
        <w:rPr>
          <w:spacing w:val="-13"/>
        </w:rPr>
        <w:t> </w:t>
      </w:r>
      <w:r>
        <w:rPr/>
        <w:t>antara</w:t>
      </w:r>
      <w:r>
        <w:rPr>
          <w:spacing w:val="-12"/>
        </w:rPr>
        <w:t> </w:t>
      </w:r>
      <w:r>
        <w:rPr/>
        <w:t>Kelurahan</w:t>
      </w:r>
      <w:r>
        <w:rPr>
          <w:spacing w:val="-13"/>
        </w:rPr>
        <w:t> </w:t>
      </w:r>
      <w:r>
        <w:rPr/>
        <w:t>Genteng dan Kelurahan Tanah Kali Kedinding dengan taraf signifikansi 5% (α = 0,05). Seluruh analisis data dilakukan menggunakan perangkat lunak IBM SPSS </w:t>
      </w:r>
      <w:r>
        <w:rPr>
          <w:spacing w:val="-2"/>
        </w:rPr>
        <w:t>Statistics.</w:t>
      </w:r>
    </w:p>
    <w:p>
      <w:pPr>
        <w:pStyle w:val="BodyText"/>
        <w:spacing w:before="1"/>
        <w:jc w:val="left"/>
      </w:pPr>
    </w:p>
    <w:p>
      <w:pPr>
        <w:pStyle w:val="Heading1"/>
        <w:spacing w:before="1"/>
      </w:pPr>
      <w:r>
        <w:rPr>
          <w:spacing w:val="-2"/>
        </w:rPr>
        <w:t>HASIL</w:t>
      </w:r>
      <w:r>
        <w:rPr>
          <w:spacing w:val="-12"/>
        </w:rPr>
        <w:t> </w:t>
      </w:r>
      <w:r>
        <w:rPr>
          <w:spacing w:val="-2"/>
        </w:rPr>
        <w:t>DAN</w:t>
      </w:r>
      <w:r>
        <w:rPr>
          <w:spacing w:val="-1"/>
        </w:rPr>
        <w:t> </w:t>
      </w:r>
      <w:r>
        <w:rPr>
          <w:spacing w:val="-2"/>
        </w:rPr>
        <w:t>PEMBAHASAN</w:t>
      </w:r>
    </w:p>
    <w:p>
      <w:pPr>
        <w:spacing w:before="0"/>
        <w:ind w:left="127" w:right="0" w:firstLine="0"/>
        <w:jc w:val="left"/>
        <w:rPr>
          <w:b/>
          <w:sz w:val="20"/>
        </w:rPr>
      </w:pPr>
      <w:r>
        <w:rPr>
          <w:b/>
          <w:sz w:val="20"/>
        </w:rPr>
        <w:t>Hasil</w:t>
      </w:r>
      <w:r>
        <w:rPr>
          <w:b/>
          <w:spacing w:val="-9"/>
          <w:sz w:val="20"/>
        </w:rPr>
        <w:t> </w:t>
      </w:r>
      <w:r>
        <w:rPr>
          <w:b/>
          <w:spacing w:val="-2"/>
          <w:sz w:val="20"/>
        </w:rPr>
        <w:t>Penelitian</w:t>
      </w:r>
    </w:p>
    <w:p>
      <w:pPr>
        <w:pStyle w:val="ListParagraph"/>
        <w:numPr>
          <w:ilvl w:val="0"/>
          <w:numId w:val="1"/>
        </w:numPr>
        <w:tabs>
          <w:tab w:pos="326" w:val="left" w:leader="none"/>
        </w:tabs>
        <w:spacing w:line="240" w:lineRule="auto" w:before="0" w:after="0"/>
        <w:ind w:left="326" w:right="0" w:hanging="199"/>
        <w:jc w:val="left"/>
        <w:rPr>
          <w:b/>
          <w:sz w:val="20"/>
        </w:rPr>
      </w:pPr>
      <w:r>
        <w:rPr>
          <w:b/>
          <w:sz w:val="20"/>
        </w:rPr>
        <w:t>Lokasi</w:t>
      </w:r>
      <w:r>
        <w:rPr>
          <w:b/>
          <w:spacing w:val="-5"/>
          <w:sz w:val="20"/>
        </w:rPr>
        <w:t> </w:t>
      </w:r>
      <w:r>
        <w:rPr>
          <w:b/>
          <w:spacing w:val="-2"/>
          <w:sz w:val="20"/>
        </w:rPr>
        <w:t>Penelitian</w:t>
      </w:r>
    </w:p>
    <w:p>
      <w:pPr>
        <w:spacing w:before="0"/>
        <w:ind w:left="328" w:right="0" w:firstLine="0"/>
        <w:jc w:val="left"/>
        <w:rPr>
          <w:b/>
          <w:sz w:val="20"/>
        </w:rPr>
      </w:pPr>
      <w:r>
        <w:rPr>
          <w:b/>
          <w:sz w:val="20"/>
        </w:rPr>
        <w:t>Gambar</w:t>
      </w:r>
      <w:r>
        <w:rPr>
          <w:b/>
          <w:spacing w:val="3"/>
          <w:sz w:val="20"/>
        </w:rPr>
        <w:t> </w:t>
      </w:r>
      <w:r>
        <w:rPr>
          <w:b/>
          <w:sz w:val="20"/>
        </w:rPr>
        <w:t>1</w:t>
      </w:r>
      <w:r>
        <w:rPr>
          <w:b/>
          <w:spacing w:val="3"/>
          <w:sz w:val="20"/>
        </w:rPr>
        <w:t> </w:t>
      </w:r>
      <w:r>
        <w:rPr>
          <w:b/>
          <w:sz w:val="20"/>
        </w:rPr>
        <w:t>Peta</w:t>
      </w:r>
      <w:r>
        <w:rPr>
          <w:b/>
          <w:spacing w:val="-8"/>
          <w:sz w:val="20"/>
        </w:rPr>
        <w:t> </w:t>
      </w:r>
      <w:r>
        <w:rPr>
          <w:b/>
          <w:sz w:val="20"/>
        </w:rPr>
        <w:t>Kelurahan</w:t>
      </w:r>
      <w:r>
        <w:rPr>
          <w:b/>
          <w:spacing w:val="-9"/>
          <w:sz w:val="20"/>
        </w:rPr>
        <w:t> </w:t>
      </w:r>
      <w:r>
        <w:rPr>
          <w:b/>
          <w:spacing w:val="-2"/>
          <w:sz w:val="20"/>
        </w:rPr>
        <w:t>Genteng</w:t>
      </w:r>
    </w:p>
    <w:p>
      <w:pPr>
        <w:spacing w:line="240" w:lineRule="auto"/>
        <w:ind w:left="334" w:right="0" w:firstLine="0"/>
        <w:rPr>
          <w:sz w:val="20"/>
        </w:rPr>
      </w:pPr>
      <w:r>
        <w:rPr>
          <w:sz w:val="20"/>
        </w:rPr>
        <w:drawing>
          <wp:inline distT="0" distB="0" distL="0" distR="0">
            <wp:extent cx="2723846" cy="1916811"/>
            <wp:effectExtent l="0" t="0" r="0" b="0"/>
            <wp:docPr id="7" name="Image 7"/>
            <wp:cNvGraphicFramePr>
              <a:graphicFrameLocks/>
            </wp:cNvGraphicFramePr>
            <a:graphic>
              <a:graphicData uri="http://schemas.openxmlformats.org/drawingml/2006/picture">
                <pic:pic>
                  <pic:nvPicPr>
                    <pic:cNvPr id="7" name="Image 7"/>
                    <pic:cNvPicPr/>
                  </pic:nvPicPr>
                  <pic:blipFill>
                    <a:blip r:embed="rId10" cstate="print"/>
                    <a:stretch>
                      <a:fillRect/>
                    </a:stretch>
                  </pic:blipFill>
                  <pic:spPr>
                    <a:xfrm>
                      <a:off x="0" y="0"/>
                      <a:ext cx="2723846" cy="1916811"/>
                    </a:xfrm>
                    <a:prstGeom prst="rect">
                      <a:avLst/>
                    </a:prstGeom>
                  </pic:spPr>
                </pic:pic>
              </a:graphicData>
            </a:graphic>
          </wp:inline>
        </w:drawing>
      </w:r>
      <w:r>
        <w:rPr>
          <w:sz w:val="20"/>
        </w:rPr>
      </w:r>
    </w:p>
    <w:p>
      <w:pPr>
        <w:pStyle w:val="BodyText"/>
        <w:spacing w:before="13"/>
        <w:ind w:left="137" w:right="42" w:firstLine="390"/>
      </w:pPr>
      <w:r>
        <w:rPr/>
        <w:t>Kelurahan</w:t>
      </w:r>
      <w:r>
        <w:rPr>
          <w:spacing w:val="-13"/>
        </w:rPr>
        <w:t> </w:t>
      </w:r>
      <w:r>
        <w:rPr/>
        <w:t>Genteng</w:t>
      </w:r>
      <w:r>
        <w:rPr>
          <w:spacing w:val="-12"/>
        </w:rPr>
        <w:t> </w:t>
      </w:r>
      <w:r>
        <w:rPr/>
        <w:t>merupakan</w:t>
      </w:r>
      <w:r>
        <w:rPr>
          <w:spacing w:val="-13"/>
        </w:rPr>
        <w:t> </w:t>
      </w:r>
      <w:r>
        <w:rPr/>
        <w:t>salah</w:t>
      </w:r>
      <w:r>
        <w:rPr>
          <w:spacing w:val="-12"/>
        </w:rPr>
        <w:t> </w:t>
      </w:r>
      <w:r>
        <w:rPr/>
        <w:t>satu</w:t>
      </w:r>
      <w:r>
        <w:rPr>
          <w:spacing w:val="-13"/>
        </w:rPr>
        <w:t> </w:t>
      </w:r>
      <w:r>
        <w:rPr/>
        <w:t>kelurahan yang berada di Kecamatan Genteng, Kota Surabaya. Secara fungsional, Kelurahan Genteng termasuk dalam kawasan</w:t>
      </w:r>
      <w:r>
        <w:rPr>
          <w:spacing w:val="55"/>
        </w:rPr>
        <w:t> </w:t>
      </w:r>
      <w:r>
        <w:rPr/>
        <w:t>pusat</w:t>
      </w:r>
      <w:r>
        <w:rPr>
          <w:spacing w:val="64"/>
        </w:rPr>
        <w:t> </w:t>
      </w:r>
      <w:r>
        <w:rPr/>
        <w:t>kota.</w:t>
      </w:r>
      <w:r>
        <w:rPr>
          <w:spacing w:val="58"/>
        </w:rPr>
        <w:t> </w:t>
      </w:r>
      <w:r>
        <w:rPr/>
        <w:t>Secara</w:t>
      </w:r>
      <w:r>
        <w:rPr>
          <w:spacing w:val="58"/>
        </w:rPr>
        <w:t> </w:t>
      </w:r>
      <w:r>
        <w:rPr/>
        <w:t>administratif,</w:t>
      </w:r>
      <w:r>
        <w:rPr>
          <w:spacing w:val="58"/>
        </w:rPr>
        <w:t> </w:t>
      </w:r>
      <w:r>
        <w:rPr>
          <w:spacing w:val="-2"/>
        </w:rPr>
        <w:t>Kelurahan</w:t>
      </w:r>
    </w:p>
    <w:p>
      <w:pPr>
        <w:pStyle w:val="BodyText"/>
        <w:spacing w:before="81"/>
        <w:ind w:left="127" w:right="270"/>
      </w:pPr>
      <w:r>
        <w:rPr/>
        <w:br w:type="column"/>
      </w:r>
      <w:r>
        <w:rPr/>
        <w:t>Genteng berbatasan dengan Kelurahan Peneleh dan di sebelah utara, Kelurahan Ketabang di sebelah timur, Kelurahan</w:t>
      </w:r>
      <w:r>
        <w:rPr>
          <w:spacing w:val="-10"/>
        </w:rPr>
        <w:t> </w:t>
      </w:r>
      <w:r>
        <w:rPr/>
        <w:t>Embong</w:t>
      </w:r>
      <w:r>
        <w:rPr>
          <w:spacing w:val="-13"/>
        </w:rPr>
        <w:t> </w:t>
      </w:r>
      <w:r>
        <w:rPr/>
        <w:t>Kaliasin</w:t>
      </w:r>
      <w:r>
        <w:rPr>
          <w:spacing w:val="-7"/>
        </w:rPr>
        <w:t> </w:t>
      </w:r>
      <w:r>
        <w:rPr/>
        <w:t>dan</w:t>
      </w:r>
      <w:r>
        <w:rPr>
          <w:spacing w:val="-7"/>
        </w:rPr>
        <w:t> </w:t>
      </w:r>
      <w:r>
        <w:rPr/>
        <w:t>Kedungdoro</w:t>
      </w:r>
      <w:r>
        <w:rPr>
          <w:spacing w:val="-7"/>
        </w:rPr>
        <w:t> </w:t>
      </w:r>
      <w:r>
        <w:rPr/>
        <w:t>di</w:t>
      </w:r>
      <w:r>
        <w:rPr>
          <w:spacing w:val="-4"/>
        </w:rPr>
        <w:t> </w:t>
      </w:r>
      <w:r>
        <w:rPr/>
        <w:t>sebelah selatan,</w:t>
      </w:r>
      <w:r>
        <w:rPr>
          <w:spacing w:val="-11"/>
        </w:rPr>
        <w:t> </w:t>
      </w:r>
      <w:r>
        <w:rPr/>
        <w:t>serta</w:t>
      </w:r>
      <w:r>
        <w:rPr>
          <w:spacing w:val="-11"/>
        </w:rPr>
        <w:t> </w:t>
      </w:r>
      <w:r>
        <w:rPr/>
        <w:t>Kelurahan</w:t>
      </w:r>
      <w:r>
        <w:rPr>
          <w:spacing w:val="-11"/>
        </w:rPr>
        <w:t> </w:t>
      </w:r>
      <w:r>
        <w:rPr/>
        <w:t>Sawahan</w:t>
      </w:r>
      <w:r>
        <w:rPr>
          <w:spacing w:val="-11"/>
        </w:rPr>
        <w:t> </w:t>
      </w:r>
      <w:r>
        <w:rPr/>
        <w:t>di</w:t>
      </w:r>
      <w:r>
        <w:rPr>
          <w:spacing w:val="-8"/>
        </w:rPr>
        <w:t> </w:t>
      </w:r>
      <w:r>
        <w:rPr/>
        <w:t>sebelah</w:t>
      </w:r>
      <w:r>
        <w:rPr>
          <w:spacing w:val="-11"/>
        </w:rPr>
        <w:t> </w:t>
      </w:r>
      <w:r>
        <w:rPr/>
        <w:t>barat.</w:t>
      </w:r>
      <w:r>
        <w:rPr>
          <w:spacing w:val="-11"/>
        </w:rPr>
        <w:t> </w:t>
      </w:r>
      <w:r>
        <w:rPr/>
        <w:t>Letak wilayah</w:t>
      </w:r>
      <w:r>
        <w:rPr>
          <w:spacing w:val="-12"/>
        </w:rPr>
        <w:t> </w:t>
      </w:r>
      <w:r>
        <w:rPr/>
        <w:t>yang</w:t>
      </w:r>
      <w:r>
        <w:rPr>
          <w:spacing w:val="-12"/>
        </w:rPr>
        <w:t> </w:t>
      </w:r>
      <w:r>
        <w:rPr/>
        <w:t>berada</w:t>
      </w:r>
      <w:r>
        <w:rPr>
          <w:spacing w:val="-11"/>
        </w:rPr>
        <w:t> </w:t>
      </w:r>
      <w:r>
        <w:rPr/>
        <w:t>di</w:t>
      </w:r>
      <w:r>
        <w:rPr>
          <w:spacing w:val="-9"/>
        </w:rPr>
        <w:t> </w:t>
      </w:r>
      <w:r>
        <w:rPr/>
        <w:t>pusat</w:t>
      </w:r>
      <w:r>
        <w:rPr>
          <w:spacing w:val="-9"/>
        </w:rPr>
        <w:t> </w:t>
      </w:r>
      <w:r>
        <w:rPr/>
        <w:t>Kota</w:t>
      </w:r>
      <w:r>
        <w:rPr>
          <w:spacing w:val="-11"/>
        </w:rPr>
        <w:t> </w:t>
      </w:r>
      <w:r>
        <w:rPr/>
        <w:t>Surabaya</w:t>
      </w:r>
      <w:r>
        <w:rPr>
          <w:spacing w:val="-11"/>
        </w:rPr>
        <w:t> </w:t>
      </w:r>
      <w:r>
        <w:rPr/>
        <w:t>menjadikan Kelurahan</w:t>
      </w:r>
      <w:r>
        <w:rPr>
          <w:spacing w:val="-13"/>
        </w:rPr>
        <w:t> </w:t>
      </w:r>
      <w:r>
        <w:rPr/>
        <w:t>Genteng</w:t>
      </w:r>
      <w:r>
        <w:rPr>
          <w:spacing w:val="-12"/>
        </w:rPr>
        <w:t> </w:t>
      </w:r>
      <w:r>
        <w:rPr/>
        <w:t>memiliki</w:t>
      </w:r>
      <w:r>
        <w:rPr>
          <w:spacing w:val="-13"/>
        </w:rPr>
        <w:t> </w:t>
      </w:r>
      <w:r>
        <w:rPr/>
        <w:t>aksesibilitas</w:t>
      </w:r>
      <w:r>
        <w:rPr>
          <w:spacing w:val="-12"/>
        </w:rPr>
        <w:t> </w:t>
      </w:r>
      <w:r>
        <w:rPr/>
        <w:t>fasilitas</w:t>
      </w:r>
      <w:r>
        <w:rPr>
          <w:spacing w:val="-13"/>
        </w:rPr>
        <w:t> </w:t>
      </w:r>
      <w:r>
        <w:rPr/>
        <w:t>tinggi serta</w:t>
      </w:r>
      <w:r>
        <w:rPr>
          <w:spacing w:val="-13"/>
        </w:rPr>
        <w:t> </w:t>
      </w:r>
      <w:r>
        <w:rPr/>
        <w:t>memiliki</w:t>
      </w:r>
      <w:r>
        <w:rPr>
          <w:spacing w:val="-12"/>
        </w:rPr>
        <w:t> </w:t>
      </w:r>
      <w:r>
        <w:rPr/>
        <w:t>peran</w:t>
      </w:r>
      <w:r>
        <w:rPr>
          <w:spacing w:val="-13"/>
        </w:rPr>
        <w:t> </w:t>
      </w:r>
      <w:r>
        <w:rPr/>
        <w:t>penting</w:t>
      </w:r>
      <w:r>
        <w:rPr>
          <w:spacing w:val="-12"/>
        </w:rPr>
        <w:t> </w:t>
      </w:r>
      <w:r>
        <w:rPr/>
        <w:t>dalam</w:t>
      </w:r>
      <w:r>
        <w:rPr>
          <w:spacing w:val="-13"/>
        </w:rPr>
        <w:t> </w:t>
      </w:r>
      <w:r>
        <w:rPr/>
        <w:t>mendukung</w:t>
      </w:r>
      <w:r>
        <w:rPr>
          <w:spacing w:val="-12"/>
        </w:rPr>
        <w:t> </w:t>
      </w:r>
      <w:r>
        <w:rPr/>
        <w:t>aktivitas pemerintahan, ekonomi, dan pelayanan publik di wilayah pusat kota.</w:t>
      </w:r>
    </w:p>
    <w:p>
      <w:pPr>
        <w:pStyle w:val="BodyText"/>
        <w:spacing w:before="1"/>
        <w:ind w:left="127" w:right="270" w:firstLine="430"/>
      </w:pPr>
      <w:r>
        <w:rPr/>
        <w:t>Berdasarkan (BPS Kota Surabaya, 2024) data tahun 2023, Kelurahan Genteng memiliki luas wilayah sekitar 0,53 km² dengan</w:t>
      </w:r>
      <w:r>
        <w:rPr>
          <w:spacing w:val="-1"/>
        </w:rPr>
        <w:t> </w:t>
      </w:r>
      <w:r>
        <w:rPr/>
        <w:t>jumlah penduduk ±8.372 jiwa, sehingga</w:t>
      </w:r>
      <w:r>
        <w:rPr>
          <w:spacing w:val="68"/>
          <w:w w:val="150"/>
        </w:rPr>
        <w:t> </w:t>
      </w:r>
      <w:r>
        <w:rPr/>
        <w:t>tingkat</w:t>
      </w:r>
      <w:r>
        <w:rPr>
          <w:spacing w:val="73"/>
          <w:w w:val="150"/>
        </w:rPr>
        <w:t> </w:t>
      </w:r>
      <w:r>
        <w:rPr/>
        <w:t>kepadatan</w:t>
      </w:r>
      <w:r>
        <w:rPr>
          <w:spacing w:val="67"/>
          <w:w w:val="150"/>
        </w:rPr>
        <w:t> </w:t>
      </w:r>
      <w:r>
        <w:rPr/>
        <w:t>penduduknya</w:t>
      </w:r>
      <w:r>
        <w:rPr>
          <w:spacing w:val="69"/>
          <w:w w:val="150"/>
        </w:rPr>
        <w:t> </w:t>
      </w:r>
      <w:r>
        <w:rPr>
          <w:spacing w:val="-2"/>
        </w:rPr>
        <w:t>mencapai</w:t>
      </w:r>
    </w:p>
    <w:p>
      <w:pPr>
        <w:pStyle w:val="BodyText"/>
        <w:spacing w:before="1"/>
        <w:ind w:left="127" w:right="274"/>
      </w:pPr>
      <w:r>
        <w:rPr/>
        <w:t>±34.713 jiwa/km² yang tergolong sangat tinggi. Berdasarkan kajian tentang dinamika Kota Surabaya, wilayah pusat kota, termasuk Kecamatan Genteng, merupakan</w:t>
      </w:r>
      <w:r>
        <w:rPr>
          <w:spacing w:val="-3"/>
        </w:rPr>
        <w:t> </w:t>
      </w:r>
      <w:r>
        <w:rPr/>
        <w:t>kawasan</w:t>
      </w:r>
      <w:r>
        <w:rPr>
          <w:spacing w:val="-13"/>
        </w:rPr>
        <w:t> </w:t>
      </w:r>
      <w:r>
        <w:rPr/>
        <w:t>pusat</w:t>
      </w:r>
      <w:r>
        <w:rPr>
          <w:spacing w:val="-8"/>
        </w:rPr>
        <w:t> </w:t>
      </w:r>
      <w:r>
        <w:rPr/>
        <w:t>kota</w:t>
      </w:r>
      <w:r>
        <w:rPr>
          <w:spacing w:val="-2"/>
        </w:rPr>
        <w:t> </w:t>
      </w:r>
      <w:r>
        <w:rPr/>
        <w:t>dengan</w:t>
      </w:r>
      <w:r>
        <w:rPr>
          <w:spacing w:val="-3"/>
        </w:rPr>
        <w:t> </w:t>
      </w:r>
      <w:r>
        <w:rPr/>
        <w:t>karakter</w:t>
      </w:r>
      <w:r>
        <w:rPr>
          <w:spacing w:val="-10"/>
        </w:rPr>
        <w:t> </w:t>
      </w:r>
      <w:r>
        <w:rPr/>
        <w:t>wilayah yang memiliki konsentrasi aktivitas</w:t>
      </w:r>
      <w:r>
        <w:rPr>
          <w:spacing w:val="-4"/>
        </w:rPr>
        <w:t> </w:t>
      </w:r>
      <w:r>
        <w:rPr/>
        <w:t>sosial dan ekonomi yang relatif padat, pertumbuhan penduduk yang cukup tinggi,</w:t>
      </w:r>
      <w:r>
        <w:rPr>
          <w:spacing w:val="-13"/>
        </w:rPr>
        <w:t> </w:t>
      </w:r>
      <w:r>
        <w:rPr/>
        <w:t>serta</w:t>
      </w:r>
      <w:r>
        <w:rPr>
          <w:spacing w:val="-2"/>
        </w:rPr>
        <w:t> </w:t>
      </w:r>
      <w:r>
        <w:rPr/>
        <w:t>kemudahan</w:t>
      </w:r>
      <w:r>
        <w:rPr>
          <w:spacing w:val="-4"/>
        </w:rPr>
        <w:t> </w:t>
      </w:r>
      <w:r>
        <w:rPr/>
        <w:t>akses</w:t>
      </w:r>
      <w:r>
        <w:rPr>
          <w:spacing w:val="-3"/>
        </w:rPr>
        <w:t> </w:t>
      </w:r>
      <w:r>
        <w:rPr/>
        <w:t>perkotaan</w:t>
      </w:r>
      <w:r>
        <w:rPr>
          <w:spacing w:val="-4"/>
        </w:rPr>
        <w:t> </w:t>
      </w:r>
      <w:r>
        <w:rPr/>
        <w:t>yang</w:t>
      </w:r>
      <w:r>
        <w:rPr>
          <w:spacing w:val="-13"/>
        </w:rPr>
        <w:t> </w:t>
      </w:r>
      <w:r>
        <w:rPr/>
        <w:t>lebih</w:t>
      </w:r>
      <w:r>
        <w:rPr>
          <w:spacing w:val="-12"/>
        </w:rPr>
        <w:t> </w:t>
      </w:r>
      <w:r>
        <w:rPr/>
        <w:t>baik dibandingkan wilayah pinggiran kota (Hapsari &amp; Widyastuti, 2020). Wilayah pusat kota cenderung memiliki</w:t>
      </w:r>
      <w:r>
        <w:rPr>
          <w:spacing w:val="-9"/>
        </w:rPr>
        <w:t> </w:t>
      </w:r>
      <w:r>
        <w:rPr/>
        <w:t>lingkungan</w:t>
      </w:r>
      <w:r>
        <w:rPr>
          <w:spacing w:val="-13"/>
        </w:rPr>
        <w:t> </w:t>
      </w:r>
      <w:r>
        <w:rPr/>
        <w:t>hunian</w:t>
      </w:r>
      <w:r>
        <w:rPr>
          <w:spacing w:val="-12"/>
        </w:rPr>
        <w:t> </w:t>
      </w:r>
      <w:r>
        <w:rPr/>
        <w:t>yang</w:t>
      </w:r>
      <w:r>
        <w:rPr>
          <w:spacing w:val="-13"/>
        </w:rPr>
        <w:t> </w:t>
      </w:r>
      <w:r>
        <w:rPr/>
        <w:t>lebih</w:t>
      </w:r>
      <w:r>
        <w:rPr>
          <w:spacing w:val="-12"/>
        </w:rPr>
        <w:t> </w:t>
      </w:r>
      <w:r>
        <w:rPr/>
        <w:t>baik</w:t>
      </w:r>
      <w:r>
        <w:rPr>
          <w:spacing w:val="-13"/>
        </w:rPr>
        <w:t> </w:t>
      </w:r>
      <w:r>
        <w:rPr/>
        <w:t>secara</w:t>
      </w:r>
      <w:r>
        <w:rPr>
          <w:spacing w:val="-12"/>
        </w:rPr>
        <w:t> </w:t>
      </w:r>
      <w:r>
        <w:rPr/>
        <w:t>fisik, meskipun mengalami berbagai tantangan perkotaan akibat kepadatan penduduk dan keterbatasan ruang (Pradana &amp; Sulistyo, 2019).</w:t>
      </w:r>
    </w:p>
    <w:p>
      <w:pPr>
        <w:pStyle w:val="BodyText"/>
        <w:spacing w:before="2"/>
        <w:ind w:left="127" w:right="276" w:firstLine="430"/>
      </w:pPr>
      <w:r>
        <w:rPr/>
        <w:t>Evaluasi permukiman Kota Surabaya tahun 2024 mencatat bahwa RW 4 Ketandan Baru memiliki tingkat kerusakan hunian yang relatif tinggi, sehingga menjadi lokasi prioritas penanganan melalui program perbaikan rumah tidak layak huni (Rutilahu) oleh DPRKPP. Karakteristik tersebut mencerminkan dinamika spasial pusat kota dan kontras apabila dibandingkan dengan wilayah pinggiran kota seperti Kelurahan Tanah Kali Kedinding. Oleh karena itu, Kelurahan Genteng dipilih sebagai lokasi penelitian karena memiliki data yang tersedia, pelaksanaan program yang sudah dijalankan, serta tingkat representativitas yang lebih kuat dibandingkan</w:t>
      </w:r>
      <w:r>
        <w:rPr>
          <w:spacing w:val="-13"/>
        </w:rPr>
        <w:t> </w:t>
      </w:r>
      <w:r>
        <w:rPr/>
        <w:t>kelurahan</w:t>
      </w:r>
      <w:r>
        <w:rPr>
          <w:spacing w:val="-12"/>
        </w:rPr>
        <w:t> </w:t>
      </w:r>
      <w:r>
        <w:rPr/>
        <w:t>lain</w:t>
      </w:r>
      <w:r>
        <w:rPr>
          <w:spacing w:val="-13"/>
        </w:rPr>
        <w:t> </w:t>
      </w:r>
      <w:r>
        <w:rPr/>
        <w:t>di</w:t>
      </w:r>
      <w:r>
        <w:rPr>
          <w:spacing w:val="-12"/>
        </w:rPr>
        <w:t> </w:t>
      </w:r>
      <w:r>
        <w:rPr/>
        <w:t>pusat</w:t>
      </w:r>
      <w:r>
        <w:rPr>
          <w:spacing w:val="-13"/>
        </w:rPr>
        <w:t> </w:t>
      </w:r>
      <w:r>
        <w:rPr/>
        <w:t>kota</w:t>
      </w:r>
      <w:r>
        <w:rPr>
          <w:spacing w:val="-12"/>
        </w:rPr>
        <w:t> </w:t>
      </w:r>
      <w:r>
        <w:rPr/>
        <w:t>yang</w:t>
      </w:r>
      <w:r>
        <w:rPr>
          <w:spacing w:val="-13"/>
        </w:rPr>
        <w:t> </w:t>
      </w:r>
      <w:r>
        <w:rPr/>
        <w:t>memiliki karakter kumuh lebih terbatas.</w:t>
      </w:r>
    </w:p>
    <w:p>
      <w:pPr>
        <w:pStyle w:val="Heading2"/>
        <w:spacing w:before="3"/>
        <w:ind w:left="1929" w:right="688" w:hanging="981"/>
        <w:jc w:val="both"/>
      </w:pPr>
      <w:r>
        <w:rPr/>
        <w:t>Gambar</w:t>
      </w:r>
      <w:r>
        <w:rPr>
          <w:spacing w:val="-13"/>
        </w:rPr>
        <w:t> </w:t>
      </w:r>
      <w:r>
        <w:rPr/>
        <w:t>2</w:t>
      </w:r>
      <w:r>
        <w:rPr>
          <w:spacing w:val="-11"/>
        </w:rPr>
        <w:t> </w:t>
      </w:r>
      <w:r>
        <w:rPr/>
        <w:t>Peta</w:t>
      </w:r>
      <w:r>
        <w:rPr>
          <w:spacing w:val="-12"/>
        </w:rPr>
        <w:t> </w:t>
      </w:r>
      <w:r>
        <w:rPr/>
        <w:t>Kelurahan</w:t>
      </w:r>
      <w:r>
        <w:rPr>
          <w:spacing w:val="-13"/>
        </w:rPr>
        <w:t> </w:t>
      </w:r>
      <w:r>
        <w:rPr/>
        <w:t>Tanah</w:t>
      </w:r>
      <w:r>
        <w:rPr>
          <w:spacing w:val="-9"/>
        </w:rPr>
        <w:t> </w:t>
      </w:r>
      <w:r>
        <w:rPr/>
        <w:t>Kali </w:t>
      </w:r>
      <w:r>
        <w:rPr>
          <w:spacing w:val="-2"/>
        </w:rPr>
        <w:t>Kedinding</w:t>
      </w:r>
    </w:p>
    <w:p>
      <w:pPr>
        <w:spacing w:line="240" w:lineRule="auto"/>
        <w:ind w:left="554" w:right="0" w:firstLine="0"/>
        <w:rPr>
          <w:sz w:val="20"/>
        </w:rPr>
      </w:pPr>
      <w:r>
        <w:rPr>
          <w:sz w:val="20"/>
        </w:rPr>
        <w:drawing>
          <wp:inline distT="0" distB="0" distL="0" distR="0">
            <wp:extent cx="2734321" cy="1925002"/>
            <wp:effectExtent l="0" t="0" r="0" b="0"/>
            <wp:docPr id="8" name="Image 8"/>
            <wp:cNvGraphicFramePr>
              <a:graphicFrameLocks/>
            </wp:cNvGraphicFramePr>
            <a:graphic>
              <a:graphicData uri="http://schemas.openxmlformats.org/drawingml/2006/picture">
                <pic:pic>
                  <pic:nvPicPr>
                    <pic:cNvPr id="8" name="Image 8"/>
                    <pic:cNvPicPr/>
                  </pic:nvPicPr>
                  <pic:blipFill>
                    <a:blip r:embed="rId11" cstate="print"/>
                    <a:stretch>
                      <a:fillRect/>
                    </a:stretch>
                  </pic:blipFill>
                  <pic:spPr>
                    <a:xfrm>
                      <a:off x="0" y="0"/>
                      <a:ext cx="2734321" cy="1925002"/>
                    </a:xfrm>
                    <a:prstGeom prst="rect">
                      <a:avLst/>
                    </a:prstGeom>
                  </pic:spPr>
                </pic:pic>
              </a:graphicData>
            </a:graphic>
          </wp:inline>
        </w:drawing>
      </w:r>
      <w:r>
        <w:rPr>
          <w:sz w:val="20"/>
        </w:rPr>
      </w:r>
    </w:p>
    <w:p>
      <w:pPr>
        <w:pStyle w:val="BodyText"/>
        <w:spacing w:before="29"/>
        <w:ind w:left="127" w:right="272" w:firstLine="430"/>
      </w:pPr>
      <w:r>
        <w:rPr/>
        <w:t>Kelurahan</w:t>
      </w:r>
      <w:r>
        <w:rPr>
          <w:spacing w:val="-7"/>
        </w:rPr>
        <w:t> </w:t>
      </w:r>
      <w:r>
        <w:rPr/>
        <w:t>Tanah</w:t>
      </w:r>
      <w:r>
        <w:rPr>
          <w:spacing w:val="-7"/>
        </w:rPr>
        <w:t> </w:t>
      </w:r>
      <w:r>
        <w:rPr/>
        <w:t>Kali</w:t>
      </w:r>
      <w:r>
        <w:rPr>
          <w:spacing w:val="-3"/>
        </w:rPr>
        <w:t> </w:t>
      </w:r>
      <w:r>
        <w:rPr/>
        <w:t>Kedinding</w:t>
      </w:r>
      <w:r>
        <w:rPr>
          <w:spacing w:val="-7"/>
        </w:rPr>
        <w:t> </w:t>
      </w:r>
      <w:r>
        <w:rPr/>
        <w:t>merupakan</w:t>
      </w:r>
      <w:r>
        <w:rPr>
          <w:spacing w:val="-7"/>
        </w:rPr>
        <w:t> </w:t>
      </w:r>
      <w:r>
        <w:rPr/>
        <w:t>salah satu kelurahan yang berada di Kecamatan Kenjeran, Kota</w:t>
      </w:r>
      <w:r>
        <w:rPr>
          <w:spacing w:val="-5"/>
        </w:rPr>
        <w:t> </w:t>
      </w:r>
      <w:r>
        <w:rPr/>
        <w:t>Surabaya.</w:t>
      </w:r>
      <w:r>
        <w:rPr>
          <w:spacing w:val="-6"/>
        </w:rPr>
        <w:t> </w:t>
      </w:r>
      <w:r>
        <w:rPr/>
        <w:t>Kelurahan</w:t>
      </w:r>
      <w:r>
        <w:rPr>
          <w:spacing w:val="-6"/>
        </w:rPr>
        <w:t> </w:t>
      </w:r>
      <w:r>
        <w:rPr/>
        <w:t>Tanah</w:t>
      </w:r>
      <w:r>
        <w:rPr>
          <w:spacing w:val="-6"/>
        </w:rPr>
        <w:t> </w:t>
      </w:r>
      <w:r>
        <w:rPr/>
        <w:t>Kali</w:t>
      </w:r>
      <w:r>
        <w:rPr>
          <w:spacing w:val="-3"/>
        </w:rPr>
        <w:t> </w:t>
      </w:r>
      <w:r>
        <w:rPr/>
        <w:t>Kedinding</w:t>
      </w:r>
      <w:r>
        <w:rPr>
          <w:spacing w:val="-6"/>
        </w:rPr>
        <w:t> </w:t>
      </w:r>
      <w:r>
        <w:rPr/>
        <w:t>secara geografis termasuk dalam kawasan</w:t>
      </w:r>
      <w:r>
        <w:rPr>
          <w:spacing w:val="-6"/>
        </w:rPr>
        <w:t> </w:t>
      </w:r>
      <w:r>
        <w:rPr/>
        <w:t>pinggiran kota yang berdekatan</w:t>
      </w:r>
      <w:r>
        <w:rPr>
          <w:spacing w:val="-11"/>
        </w:rPr>
        <w:t> </w:t>
      </w:r>
      <w:r>
        <w:rPr/>
        <w:t>dengan</w:t>
      </w:r>
      <w:r>
        <w:rPr>
          <w:spacing w:val="-1"/>
        </w:rPr>
        <w:t> </w:t>
      </w:r>
      <w:r>
        <w:rPr/>
        <w:t>wilayah pesisir.</w:t>
      </w:r>
      <w:r>
        <w:rPr>
          <w:spacing w:val="4"/>
        </w:rPr>
        <w:t> </w:t>
      </w:r>
      <w:r>
        <w:rPr/>
        <w:t>Secara</w:t>
      </w:r>
      <w:r>
        <w:rPr>
          <w:spacing w:val="-9"/>
        </w:rPr>
        <w:t> </w:t>
      </w:r>
      <w:r>
        <w:rPr>
          <w:spacing w:val="-2"/>
        </w:rPr>
        <w:t>administratif,</w:t>
      </w:r>
    </w:p>
    <w:p>
      <w:pPr>
        <w:pStyle w:val="BodyText"/>
        <w:spacing w:after="0"/>
        <w:sectPr>
          <w:pgSz w:w="11910" w:h="16830"/>
          <w:pgMar w:header="442" w:footer="729" w:top="1300" w:bottom="920" w:left="1133" w:right="850"/>
          <w:cols w:num="2" w:equalWidth="0">
            <w:col w:w="4690" w:space="324"/>
            <w:col w:w="4913"/>
          </w:cols>
        </w:sectPr>
      </w:pPr>
    </w:p>
    <w:p>
      <w:pPr>
        <w:pStyle w:val="BodyText"/>
        <w:spacing w:before="81"/>
        <w:ind w:left="137" w:right="44"/>
      </w:pPr>
      <w:r>
        <w:rPr/>
        <w:t>Kelurahan Tanah Kali Kedinding berbatasan dengan Kelurahan</w:t>
      </w:r>
      <w:r>
        <w:rPr>
          <w:spacing w:val="-3"/>
        </w:rPr>
        <w:t> </w:t>
      </w:r>
      <w:r>
        <w:rPr/>
        <w:t>Tambak</w:t>
      </w:r>
      <w:r>
        <w:rPr>
          <w:spacing w:val="-3"/>
        </w:rPr>
        <w:t> </w:t>
      </w:r>
      <w:r>
        <w:rPr/>
        <w:t>Wedi di</w:t>
      </w:r>
      <w:r>
        <w:rPr>
          <w:spacing w:val="-9"/>
        </w:rPr>
        <w:t> </w:t>
      </w:r>
      <w:r>
        <w:rPr/>
        <w:t>sebelah</w:t>
      </w:r>
      <w:r>
        <w:rPr>
          <w:spacing w:val="-3"/>
        </w:rPr>
        <w:t> </w:t>
      </w:r>
      <w:r>
        <w:rPr/>
        <w:t>utara,</w:t>
      </w:r>
      <w:r>
        <w:rPr>
          <w:spacing w:val="-3"/>
        </w:rPr>
        <w:t> </w:t>
      </w:r>
      <w:r>
        <w:rPr/>
        <w:t>Selat</w:t>
      </w:r>
      <w:r>
        <w:rPr>
          <w:spacing w:val="-9"/>
        </w:rPr>
        <w:t> </w:t>
      </w:r>
      <w:r>
        <w:rPr/>
        <w:t>Madura di sebelah timur, Kelurahan Bulak Banteng di sebelah selatan, serta Kelurahan Sidotopo Wetan di sebelah barat. Letak wilayah yang berdekatan dengan laut memberikan</w:t>
      </w:r>
      <w:r>
        <w:rPr>
          <w:spacing w:val="-3"/>
        </w:rPr>
        <w:t> </w:t>
      </w:r>
      <w:r>
        <w:rPr/>
        <w:t>pengaruh</w:t>
      </w:r>
      <w:r>
        <w:rPr>
          <w:spacing w:val="-3"/>
        </w:rPr>
        <w:t> </w:t>
      </w:r>
      <w:r>
        <w:rPr/>
        <w:t>signifikan</w:t>
      </w:r>
      <w:r>
        <w:rPr>
          <w:spacing w:val="-3"/>
        </w:rPr>
        <w:t> </w:t>
      </w:r>
      <w:r>
        <w:rPr/>
        <w:t>terhadap</w:t>
      </w:r>
      <w:r>
        <w:rPr>
          <w:spacing w:val="-3"/>
        </w:rPr>
        <w:t> </w:t>
      </w:r>
      <w:r>
        <w:rPr/>
        <w:t>kondisi fisik, sosial,</w:t>
      </w:r>
      <w:r>
        <w:rPr>
          <w:spacing w:val="-3"/>
        </w:rPr>
        <w:t> </w:t>
      </w:r>
      <w:r>
        <w:rPr/>
        <w:t>maupun</w:t>
      </w:r>
      <w:r>
        <w:rPr>
          <w:spacing w:val="-2"/>
        </w:rPr>
        <w:t> </w:t>
      </w:r>
      <w:r>
        <w:rPr/>
        <w:t>ekonomi, sehingga membentuk</w:t>
      </w:r>
      <w:r>
        <w:rPr>
          <w:spacing w:val="-3"/>
        </w:rPr>
        <w:t> </w:t>
      </w:r>
      <w:r>
        <w:rPr/>
        <w:t>karakter wilayah</w:t>
      </w:r>
      <w:r>
        <w:rPr>
          <w:spacing w:val="-13"/>
        </w:rPr>
        <w:t> </w:t>
      </w:r>
      <w:r>
        <w:rPr/>
        <w:t>yang</w:t>
      </w:r>
      <w:r>
        <w:rPr>
          <w:spacing w:val="-12"/>
        </w:rPr>
        <w:t> </w:t>
      </w:r>
      <w:r>
        <w:rPr/>
        <w:t>berbeda</w:t>
      </w:r>
      <w:r>
        <w:rPr>
          <w:spacing w:val="-13"/>
        </w:rPr>
        <w:t> </w:t>
      </w:r>
      <w:r>
        <w:rPr/>
        <w:t>dibandingkan</w:t>
      </w:r>
      <w:r>
        <w:rPr>
          <w:spacing w:val="-12"/>
        </w:rPr>
        <w:t> </w:t>
      </w:r>
      <w:r>
        <w:rPr/>
        <w:t>kawasan</w:t>
      </w:r>
      <w:r>
        <w:rPr>
          <w:spacing w:val="-13"/>
        </w:rPr>
        <w:t> </w:t>
      </w:r>
      <w:r>
        <w:rPr/>
        <w:t>pusat</w:t>
      </w:r>
      <w:r>
        <w:rPr>
          <w:spacing w:val="-11"/>
        </w:rPr>
        <w:t> </w:t>
      </w:r>
      <w:r>
        <w:rPr/>
        <w:t>Kota </w:t>
      </w:r>
      <w:r>
        <w:rPr>
          <w:spacing w:val="-2"/>
        </w:rPr>
        <w:t>Surabaya.</w:t>
      </w:r>
    </w:p>
    <w:p>
      <w:pPr>
        <w:pStyle w:val="BodyText"/>
        <w:spacing w:before="1"/>
        <w:ind w:left="137" w:right="38" w:firstLine="430"/>
      </w:pPr>
      <w:r>
        <w:rPr/>
        <w:drawing>
          <wp:anchor distT="0" distB="0" distL="0" distR="0" allowOverlap="1" layoutInCell="1" locked="0" behindDoc="1" simplePos="0" relativeHeight="487185920">
            <wp:simplePos x="0" y="0"/>
            <wp:positionH relativeFrom="page">
              <wp:posOffset>1860189</wp:posOffset>
            </wp:positionH>
            <wp:positionV relativeFrom="paragraph">
              <wp:posOffset>810771</wp:posOffset>
            </wp:positionV>
            <wp:extent cx="3841835" cy="4687953"/>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3841835" cy="4687953"/>
                    </a:xfrm>
                    <a:prstGeom prst="rect">
                      <a:avLst/>
                    </a:prstGeom>
                  </pic:spPr>
                </pic:pic>
              </a:graphicData>
            </a:graphic>
          </wp:anchor>
        </w:drawing>
      </w:r>
      <w:r>
        <w:rPr/>
        <w:t>Kelurahan Tanah Kali Kedinding menghadapi permasalahan</w:t>
      </w:r>
      <w:r>
        <w:rPr>
          <w:spacing w:val="-13"/>
        </w:rPr>
        <w:t> </w:t>
      </w:r>
      <w:r>
        <w:rPr/>
        <w:t>kualitas</w:t>
      </w:r>
      <w:r>
        <w:rPr>
          <w:spacing w:val="-12"/>
        </w:rPr>
        <w:t> </w:t>
      </w:r>
      <w:r>
        <w:rPr/>
        <w:t>hunian</w:t>
      </w:r>
      <w:r>
        <w:rPr>
          <w:spacing w:val="-13"/>
        </w:rPr>
        <w:t> </w:t>
      </w:r>
      <w:r>
        <w:rPr/>
        <w:t>lebih</w:t>
      </w:r>
      <w:r>
        <w:rPr>
          <w:spacing w:val="-12"/>
        </w:rPr>
        <w:t> </w:t>
      </w:r>
      <w:r>
        <w:rPr/>
        <w:t>kompleks.</w:t>
      </w:r>
      <w:r>
        <w:rPr>
          <w:spacing w:val="-13"/>
        </w:rPr>
        <w:t> </w:t>
      </w:r>
      <w:r>
        <w:rPr/>
        <w:t>Penelitian terdahulu</w:t>
      </w:r>
      <w:r>
        <w:rPr>
          <w:spacing w:val="-12"/>
        </w:rPr>
        <w:t> </w:t>
      </w:r>
      <w:r>
        <w:rPr/>
        <w:t>mengenai kawasan</w:t>
      </w:r>
      <w:r>
        <w:rPr>
          <w:spacing w:val="-2"/>
        </w:rPr>
        <w:t> </w:t>
      </w:r>
      <w:r>
        <w:rPr/>
        <w:t>pinggiran</w:t>
      </w:r>
      <w:r>
        <w:rPr>
          <w:spacing w:val="-2"/>
        </w:rPr>
        <w:t> </w:t>
      </w:r>
      <w:r>
        <w:rPr/>
        <w:t>dan</w:t>
      </w:r>
      <w:r>
        <w:rPr>
          <w:spacing w:val="-2"/>
        </w:rPr>
        <w:t> </w:t>
      </w:r>
      <w:r>
        <w:rPr/>
        <w:t>pesisir Kota Surabaya menunjukkan bahwa wilayah tersebut menghadapi</w:t>
      </w:r>
      <w:r>
        <w:rPr>
          <w:spacing w:val="-1"/>
        </w:rPr>
        <w:t> </w:t>
      </w:r>
      <w:r>
        <w:rPr/>
        <w:t>permasalahan</w:t>
      </w:r>
      <w:r>
        <w:rPr>
          <w:spacing w:val="-4"/>
        </w:rPr>
        <w:t> </w:t>
      </w:r>
      <w:r>
        <w:rPr/>
        <w:t>kepadatan</w:t>
      </w:r>
      <w:r>
        <w:rPr>
          <w:spacing w:val="-4"/>
        </w:rPr>
        <w:t> </w:t>
      </w:r>
      <w:r>
        <w:rPr/>
        <w:t>permukiman</w:t>
      </w:r>
      <w:r>
        <w:rPr>
          <w:spacing w:val="-4"/>
        </w:rPr>
        <w:t> </w:t>
      </w:r>
      <w:r>
        <w:rPr/>
        <w:t>yang tinggi, kualitas infrastruktur lingkungan yang belum optimal, serta kerentanan terhadap risiko lingkungan (Sari et al., 2020). Kondisi lingkungan tersebut berdampak pada kualitas fisik bangunan rumah dan meningkatkan risiko rumah menjadi tidak layak huni di lingkungan pinggiran kota. Berdasarkan data BPS Kota Surabaya (2023), kelurahan ini memiliki luas wilayah sekitar</w:t>
      </w:r>
      <w:r>
        <w:rPr>
          <w:spacing w:val="-10"/>
        </w:rPr>
        <w:t> </w:t>
      </w:r>
      <w:r>
        <w:rPr/>
        <w:t>2,41</w:t>
      </w:r>
      <w:r>
        <w:rPr>
          <w:spacing w:val="-13"/>
        </w:rPr>
        <w:t> </w:t>
      </w:r>
      <w:r>
        <w:rPr/>
        <w:t>km²</w:t>
      </w:r>
      <w:r>
        <w:rPr>
          <w:spacing w:val="-10"/>
        </w:rPr>
        <w:t> </w:t>
      </w:r>
      <w:r>
        <w:rPr/>
        <w:t>dengan</w:t>
      </w:r>
      <w:r>
        <w:rPr>
          <w:spacing w:val="-13"/>
        </w:rPr>
        <w:t> </w:t>
      </w:r>
      <w:r>
        <w:rPr/>
        <w:t>jumlah</w:t>
      </w:r>
      <w:r>
        <w:rPr>
          <w:spacing w:val="-12"/>
        </w:rPr>
        <w:t> </w:t>
      </w:r>
      <w:r>
        <w:rPr/>
        <w:t>penduduk</w:t>
      </w:r>
      <w:r>
        <w:rPr>
          <w:spacing w:val="-13"/>
        </w:rPr>
        <w:t> </w:t>
      </w:r>
      <w:r>
        <w:rPr/>
        <w:t>sekitar</w:t>
      </w:r>
      <w:r>
        <w:rPr>
          <w:spacing w:val="-9"/>
        </w:rPr>
        <w:t> </w:t>
      </w:r>
      <w:r>
        <w:rPr/>
        <w:t>58.560 jiwa, sehingga kepadatan penduduk mencapai ±24.299 jiwa/km², yang termasuk dalam kepadatan tinggi. Kelurahan Tanah Kali Kedinding berada pada wilayah elevasi rendah pesisir, yang menyebabkan kawasan ini rentan terhadap banjir rob dan genangan air hujan. BPBD Kota Surabaya (2023) mencatat bahwa RW 6, RW 8, dan RW 12 termasuk dalam zona rawan banjir rob. Dampak dari tekanan kepadatan penduduk dan kondisi</w:t>
      </w:r>
      <w:r>
        <w:rPr>
          <w:spacing w:val="-13"/>
        </w:rPr>
        <w:t> </w:t>
      </w:r>
      <w:r>
        <w:rPr/>
        <w:t>lingkungan</w:t>
      </w:r>
      <w:r>
        <w:rPr>
          <w:spacing w:val="-12"/>
        </w:rPr>
        <w:t> </w:t>
      </w:r>
      <w:r>
        <w:rPr/>
        <w:t>pesisir</w:t>
      </w:r>
      <w:r>
        <w:rPr>
          <w:spacing w:val="-13"/>
        </w:rPr>
        <w:t> </w:t>
      </w:r>
      <w:r>
        <w:rPr/>
        <w:t>tersebut</w:t>
      </w:r>
      <w:r>
        <w:rPr>
          <w:spacing w:val="-12"/>
        </w:rPr>
        <w:t> </w:t>
      </w:r>
      <w:r>
        <w:rPr/>
        <w:t>tercermin</w:t>
      </w:r>
      <w:r>
        <w:rPr>
          <w:spacing w:val="-13"/>
        </w:rPr>
        <w:t> </w:t>
      </w:r>
      <w:r>
        <w:rPr/>
        <w:t>pada</w:t>
      </w:r>
      <w:r>
        <w:rPr>
          <w:spacing w:val="-12"/>
        </w:rPr>
        <w:t> </w:t>
      </w:r>
      <w:r>
        <w:rPr/>
        <w:t>masih banyaknya rumah tidak layak huni, dengan ciri bangunan semi permanen, lantai tanah, serta kerusakan struktural akibat genangan air saat banjir. Kondisi ini menjadikan Tanah Kali Kedinding sebagai salah satu wilayah pinggiran yang memerlukan perhatian lebih dalam</w:t>
      </w:r>
      <w:r>
        <w:rPr>
          <w:spacing w:val="-5"/>
        </w:rPr>
        <w:t> </w:t>
      </w:r>
      <w:r>
        <w:rPr/>
        <w:t>pemenuhan</w:t>
      </w:r>
      <w:r>
        <w:rPr>
          <w:spacing w:val="-9"/>
        </w:rPr>
        <w:t> </w:t>
      </w:r>
      <w:r>
        <w:rPr/>
        <w:t>kebutuhan</w:t>
      </w:r>
      <w:r>
        <w:rPr>
          <w:spacing w:val="1"/>
        </w:rPr>
        <w:t> </w:t>
      </w:r>
      <w:r>
        <w:rPr/>
        <w:t>program</w:t>
      </w:r>
      <w:r>
        <w:rPr>
          <w:spacing w:val="-5"/>
        </w:rPr>
        <w:t> </w:t>
      </w:r>
      <w:r>
        <w:rPr/>
        <w:t>perbaikan</w:t>
      </w:r>
      <w:r>
        <w:rPr>
          <w:spacing w:val="-8"/>
        </w:rPr>
        <w:t> </w:t>
      </w:r>
      <w:r>
        <w:rPr>
          <w:spacing w:val="-2"/>
        </w:rPr>
        <w:t>rumah.</w:t>
      </w:r>
    </w:p>
    <w:p>
      <w:pPr>
        <w:pStyle w:val="BodyText"/>
        <w:spacing w:before="5"/>
        <w:jc w:val="left"/>
      </w:pPr>
    </w:p>
    <w:p>
      <w:pPr>
        <w:pStyle w:val="ListParagraph"/>
        <w:numPr>
          <w:ilvl w:val="0"/>
          <w:numId w:val="1"/>
        </w:numPr>
        <w:tabs>
          <w:tab w:pos="326" w:val="left" w:leader="none"/>
        </w:tabs>
        <w:spacing w:line="240" w:lineRule="auto" w:before="0" w:after="0"/>
        <w:ind w:left="326" w:right="0" w:hanging="199"/>
        <w:jc w:val="left"/>
        <w:rPr>
          <w:b/>
          <w:sz w:val="20"/>
        </w:rPr>
      </w:pPr>
      <w:r>
        <w:rPr>
          <w:b/>
          <w:sz w:val="20"/>
        </w:rPr>
        <w:t>Karakteristik</w:t>
      </w:r>
      <w:r>
        <w:rPr>
          <w:b/>
          <w:spacing w:val="7"/>
          <w:sz w:val="20"/>
        </w:rPr>
        <w:t> </w:t>
      </w:r>
      <w:r>
        <w:rPr>
          <w:b/>
          <w:spacing w:val="-2"/>
          <w:sz w:val="20"/>
        </w:rPr>
        <w:t>Responden</w:t>
      </w:r>
    </w:p>
    <w:p>
      <w:pPr>
        <w:pStyle w:val="ListParagraph"/>
        <w:numPr>
          <w:ilvl w:val="1"/>
          <w:numId w:val="1"/>
        </w:numPr>
        <w:tabs>
          <w:tab w:pos="326" w:val="left" w:leader="none"/>
        </w:tabs>
        <w:spacing w:line="240" w:lineRule="auto" w:before="1" w:after="0"/>
        <w:ind w:left="326" w:right="0" w:hanging="199"/>
        <w:jc w:val="left"/>
        <w:rPr>
          <w:b/>
          <w:sz w:val="20"/>
        </w:rPr>
      </w:pPr>
      <w:r>
        <w:rPr>
          <w:b/>
          <w:sz w:val="20"/>
        </w:rPr>
        <w:t>Usia </w:t>
      </w:r>
      <w:r>
        <w:rPr>
          <w:b/>
          <w:spacing w:val="-2"/>
          <w:sz w:val="20"/>
        </w:rPr>
        <w:t>Responden</w:t>
      </w:r>
    </w:p>
    <w:p>
      <w:pPr>
        <w:tabs>
          <w:tab w:pos="758" w:val="left" w:leader="none"/>
          <w:tab w:pos="4641" w:val="left" w:leader="none"/>
        </w:tabs>
        <w:spacing w:before="0"/>
        <w:ind w:left="428" w:right="0" w:firstLine="0"/>
        <w:jc w:val="left"/>
        <w:rPr>
          <w:b/>
          <w:sz w:val="20"/>
        </w:rPr>
      </w:pPr>
      <w:r>
        <w:rPr>
          <w:b/>
          <w:sz w:val="20"/>
          <w:u w:val="single" w:color="7E7E7E"/>
        </w:rPr>
        <w:tab/>
        <w:t>Tabel</w:t>
      </w:r>
      <w:r>
        <w:rPr>
          <w:b/>
          <w:spacing w:val="2"/>
          <w:sz w:val="20"/>
          <w:u w:val="single" w:color="7E7E7E"/>
        </w:rPr>
        <w:t> </w:t>
      </w:r>
      <w:r>
        <w:rPr>
          <w:b/>
          <w:sz w:val="20"/>
          <w:u w:val="single" w:color="7E7E7E"/>
        </w:rPr>
        <w:t>1.1</w:t>
      </w:r>
      <w:r>
        <w:rPr>
          <w:b/>
          <w:spacing w:val="-3"/>
          <w:sz w:val="20"/>
          <w:u w:val="single" w:color="7E7E7E"/>
        </w:rPr>
        <w:t> </w:t>
      </w:r>
      <w:r>
        <w:rPr>
          <w:b/>
          <w:sz w:val="20"/>
          <w:u w:val="single" w:color="7E7E7E"/>
        </w:rPr>
        <w:t>Distribusi</w:t>
      </w:r>
      <w:r>
        <w:rPr>
          <w:b/>
          <w:spacing w:val="2"/>
          <w:sz w:val="20"/>
          <w:u w:val="single" w:color="7E7E7E"/>
        </w:rPr>
        <w:t> </w:t>
      </w:r>
      <w:r>
        <w:rPr>
          <w:b/>
          <w:sz w:val="20"/>
          <w:u w:val="single" w:color="7E7E7E"/>
        </w:rPr>
        <w:t>Usia</w:t>
      </w:r>
      <w:r>
        <w:rPr>
          <w:b/>
          <w:spacing w:val="-2"/>
          <w:sz w:val="20"/>
          <w:u w:val="single" w:color="7E7E7E"/>
        </w:rPr>
        <w:t> Responden</w:t>
      </w:r>
      <w:r>
        <w:rPr>
          <w:b/>
          <w:sz w:val="20"/>
          <w:u w:val="single" w:color="7E7E7E"/>
        </w:rPr>
        <w:tab/>
      </w:r>
    </w:p>
    <w:tbl>
      <w:tblPr>
        <w:tblW w:w="0" w:type="auto"/>
        <w:jc w:val="left"/>
        <w:tblInd w:w="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65"/>
        <w:gridCol w:w="991"/>
        <w:gridCol w:w="1209"/>
        <w:gridCol w:w="428"/>
        <w:gridCol w:w="710"/>
      </w:tblGrid>
      <w:tr>
        <w:trPr>
          <w:trHeight w:val="461" w:hRule="atLeast"/>
        </w:trPr>
        <w:tc>
          <w:tcPr>
            <w:tcW w:w="765" w:type="dxa"/>
          </w:tcPr>
          <w:p>
            <w:pPr>
              <w:pStyle w:val="TableParagraph"/>
              <w:spacing w:line="221" w:lineRule="exact"/>
              <w:ind w:left="150"/>
              <w:rPr>
                <w:b/>
                <w:sz w:val="20"/>
              </w:rPr>
            </w:pPr>
            <w:r>
              <w:rPr>
                <w:b/>
                <w:spacing w:val="-4"/>
                <w:sz w:val="20"/>
              </w:rPr>
              <w:t>Usia</w:t>
            </w:r>
          </w:p>
        </w:tc>
        <w:tc>
          <w:tcPr>
            <w:tcW w:w="991" w:type="dxa"/>
          </w:tcPr>
          <w:p>
            <w:pPr>
              <w:pStyle w:val="TableParagraph"/>
              <w:spacing w:line="221" w:lineRule="exact"/>
              <w:ind w:left="125"/>
              <w:rPr>
                <w:b/>
                <w:sz w:val="20"/>
              </w:rPr>
            </w:pPr>
            <w:r>
              <w:rPr>
                <w:b/>
                <w:spacing w:val="-2"/>
                <w:sz w:val="20"/>
              </w:rPr>
              <w:t>Genteng</w:t>
            </w:r>
          </w:p>
        </w:tc>
        <w:tc>
          <w:tcPr>
            <w:tcW w:w="1209" w:type="dxa"/>
          </w:tcPr>
          <w:p>
            <w:pPr>
              <w:pStyle w:val="TableParagraph"/>
              <w:spacing w:line="221" w:lineRule="exact"/>
              <w:ind w:left="135"/>
              <w:rPr>
                <w:b/>
                <w:sz w:val="20"/>
              </w:rPr>
            </w:pPr>
            <w:r>
              <w:rPr>
                <w:b/>
                <w:spacing w:val="-2"/>
                <w:sz w:val="20"/>
              </w:rPr>
              <w:t>Tanah</w:t>
            </w:r>
            <w:r>
              <w:rPr>
                <w:b/>
                <w:spacing w:val="-12"/>
                <w:sz w:val="20"/>
              </w:rPr>
              <w:t> </w:t>
            </w:r>
            <w:r>
              <w:rPr>
                <w:b/>
                <w:spacing w:val="-4"/>
                <w:sz w:val="20"/>
              </w:rPr>
              <w:t>Kali</w:t>
            </w:r>
          </w:p>
          <w:p>
            <w:pPr>
              <w:pStyle w:val="TableParagraph"/>
              <w:tabs>
                <w:tab w:pos="2396" w:val="left" w:leader="none"/>
              </w:tabs>
              <w:spacing w:line="219" w:lineRule="exact"/>
              <w:ind w:left="-1816" w:right="-1196"/>
              <w:rPr>
                <w:b/>
                <w:sz w:val="20"/>
              </w:rPr>
            </w:pPr>
            <w:r>
              <w:rPr>
                <w:spacing w:val="77"/>
                <w:w w:val="150"/>
                <w:sz w:val="20"/>
                <w:u w:val="single" w:color="7E7E7E"/>
              </w:rPr>
              <w:t>             </w:t>
            </w:r>
            <w:r>
              <w:rPr>
                <w:b/>
                <w:spacing w:val="-2"/>
                <w:sz w:val="20"/>
                <w:u w:val="single" w:color="7E7E7E"/>
              </w:rPr>
              <w:t>Kedinding</w:t>
            </w:r>
            <w:r>
              <w:rPr>
                <w:b/>
                <w:sz w:val="20"/>
                <w:u w:val="single" w:color="7E7E7E"/>
              </w:rPr>
              <w:tab/>
            </w:r>
          </w:p>
        </w:tc>
        <w:tc>
          <w:tcPr>
            <w:tcW w:w="428" w:type="dxa"/>
          </w:tcPr>
          <w:p>
            <w:pPr>
              <w:pStyle w:val="TableParagraph"/>
              <w:spacing w:line="221" w:lineRule="exact"/>
              <w:ind w:left="157"/>
              <w:rPr>
                <w:b/>
                <w:sz w:val="20"/>
              </w:rPr>
            </w:pPr>
            <w:r>
              <w:rPr>
                <w:b/>
                <w:spacing w:val="-10"/>
                <w:sz w:val="20"/>
              </w:rPr>
              <w:t>F</w:t>
            </w:r>
          </w:p>
        </w:tc>
        <w:tc>
          <w:tcPr>
            <w:tcW w:w="710" w:type="dxa"/>
          </w:tcPr>
          <w:p>
            <w:pPr>
              <w:pStyle w:val="TableParagraph"/>
              <w:spacing w:line="221" w:lineRule="exact"/>
              <w:ind w:left="240"/>
              <w:rPr>
                <w:b/>
                <w:sz w:val="20"/>
              </w:rPr>
            </w:pPr>
            <w:r>
              <w:rPr>
                <w:b/>
                <w:spacing w:val="-5"/>
                <w:sz w:val="20"/>
              </w:rPr>
              <w:t>(%)</w:t>
            </w:r>
          </w:p>
        </w:tc>
      </w:tr>
      <w:tr>
        <w:trPr>
          <w:trHeight w:val="464" w:hRule="atLeast"/>
        </w:trPr>
        <w:tc>
          <w:tcPr>
            <w:tcW w:w="765" w:type="dxa"/>
          </w:tcPr>
          <w:p>
            <w:pPr>
              <w:pStyle w:val="TableParagraph"/>
              <w:spacing w:line="240" w:lineRule="auto"/>
              <w:rPr>
                <w:sz w:val="20"/>
              </w:rPr>
            </w:pPr>
            <w:r>
              <w:rPr>
                <w:sz w:val="20"/>
              </w:rPr>
              <w:t>31-</w:t>
            </w:r>
            <w:r>
              <w:rPr>
                <w:spacing w:val="-5"/>
                <w:sz w:val="20"/>
              </w:rPr>
              <w:t>40</w:t>
            </w:r>
          </w:p>
          <w:p>
            <w:pPr>
              <w:pStyle w:val="TableParagraph"/>
              <w:spacing w:line="214" w:lineRule="exact"/>
              <w:rPr>
                <w:sz w:val="20"/>
              </w:rPr>
            </w:pPr>
            <w:r>
              <w:rPr>
                <w:spacing w:val="-2"/>
                <w:sz w:val="20"/>
              </w:rPr>
              <w:t>tahun</w:t>
            </w:r>
          </w:p>
        </w:tc>
        <w:tc>
          <w:tcPr>
            <w:tcW w:w="991" w:type="dxa"/>
          </w:tcPr>
          <w:p>
            <w:pPr>
              <w:pStyle w:val="TableParagraph"/>
              <w:spacing w:line="240" w:lineRule="auto"/>
              <w:ind w:left="0" w:right="16"/>
              <w:jc w:val="center"/>
              <w:rPr>
                <w:sz w:val="20"/>
              </w:rPr>
            </w:pPr>
            <w:r>
              <w:rPr>
                <w:spacing w:val="-10"/>
                <w:sz w:val="20"/>
              </w:rPr>
              <w:t>2</w:t>
            </w:r>
          </w:p>
        </w:tc>
        <w:tc>
          <w:tcPr>
            <w:tcW w:w="1209" w:type="dxa"/>
          </w:tcPr>
          <w:p>
            <w:pPr>
              <w:pStyle w:val="TableParagraph"/>
              <w:spacing w:line="240" w:lineRule="auto"/>
              <w:ind w:left="565"/>
              <w:rPr>
                <w:sz w:val="20"/>
              </w:rPr>
            </w:pPr>
            <w:r>
              <w:rPr>
                <w:spacing w:val="-10"/>
                <w:sz w:val="20"/>
              </w:rPr>
              <w:t>2</w:t>
            </w:r>
          </w:p>
        </w:tc>
        <w:tc>
          <w:tcPr>
            <w:tcW w:w="428" w:type="dxa"/>
          </w:tcPr>
          <w:p>
            <w:pPr>
              <w:pStyle w:val="TableParagraph"/>
              <w:spacing w:line="240" w:lineRule="auto"/>
              <w:ind w:left="117"/>
              <w:rPr>
                <w:sz w:val="20"/>
              </w:rPr>
            </w:pPr>
            <w:r>
              <w:rPr>
                <w:spacing w:val="-10"/>
                <w:sz w:val="20"/>
              </w:rPr>
              <w:t>4</w:t>
            </w:r>
          </w:p>
        </w:tc>
        <w:tc>
          <w:tcPr>
            <w:tcW w:w="710" w:type="dxa"/>
          </w:tcPr>
          <w:p>
            <w:pPr>
              <w:pStyle w:val="TableParagraph"/>
              <w:spacing w:line="240" w:lineRule="auto"/>
              <w:ind w:left="109"/>
              <w:rPr>
                <w:b/>
                <w:sz w:val="20"/>
              </w:rPr>
            </w:pPr>
            <w:r>
              <w:rPr>
                <w:b/>
                <w:spacing w:val="-2"/>
                <w:sz w:val="20"/>
              </w:rPr>
              <w:t>14,2%</w:t>
            </w:r>
          </w:p>
        </w:tc>
      </w:tr>
      <w:tr>
        <w:trPr>
          <w:trHeight w:val="460" w:hRule="atLeast"/>
        </w:trPr>
        <w:tc>
          <w:tcPr>
            <w:tcW w:w="765" w:type="dxa"/>
          </w:tcPr>
          <w:p>
            <w:pPr>
              <w:pStyle w:val="TableParagraph"/>
              <w:rPr>
                <w:sz w:val="20"/>
              </w:rPr>
            </w:pPr>
            <w:r>
              <w:rPr>
                <w:sz w:val="20"/>
              </w:rPr>
              <w:t>41-</w:t>
            </w:r>
            <w:r>
              <w:rPr>
                <w:spacing w:val="-5"/>
                <w:sz w:val="20"/>
              </w:rPr>
              <w:t>50</w:t>
            </w:r>
          </w:p>
          <w:p>
            <w:pPr>
              <w:pStyle w:val="TableParagraph"/>
              <w:spacing w:line="214" w:lineRule="exact"/>
              <w:rPr>
                <w:sz w:val="20"/>
              </w:rPr>
            </w:pPr>
            <w:r>
              <w:rPr>
                <w:spacing w:val="-2"/>
                <w:sz w:val="20"/>
              </w:rPr>
              <w:t>tahun</w:t>
            </w:r>
          </w:p>
        </w:tc>
        <w:tc>
          <w:tcPr>
            <w:tcW w:w="991" w:type="dxa"/>
          </w:tcPr>
          <w:p>
            <w:pPr>
              <w:pStyle w:val="TableParagraph"/>
              <w:ind w:left="0" w:right="16"/>
              <w:jc w:val="center"/>
              <w:rPr>
                <w:sz w:val="20"/>
              </w:rPr>
            </w:pPr>
            <w:r>
              <w:rPr>
                <w:spacing w:val="-10"/>
                <w:sz w:val="20"/>
              </w:rPr>
              <w:t>6</w:t>
            </w:r>
          </w:p>
        </w:tc>
        <w:tc>
          <w:tcPr>
            <w:tcW w:w="1209" w:type="dxa"/>
          </w:tcPr>
          <w:p>
            <w:pPr>
              <w:pStyle w:val="TableParagraph"/>
              <w:ind w:left="565"/>
              <w:rPr>
                <w:sz w:val="20"/>
              </w:rPr>
            </w:pPr>
            <w:r>
              <w:rPr>
                <w:spacing w:val="-10"/>
                <w:sz w:val="20"/>
              </w:rPr>
              <w:t>3</w:t>
            </w:r>
          </w:p>
        </w:tc>
        <w:tc>
          <w:tcPr>
            <w:tcW w:w="428" w:type="dxa"/>
          </w:tcPr>
          <w:p>
            <w:pPr>
              <w:pStyle w:val="TableParagraph"/>
              <w:ind w:left="117"/>
              <w:rPr>
                <w:sz w:val="20"/>
              </w:rPr>
            </w:pPr>
            <w:r>
              <w:rPr>
                <w:spacing w:val="-10"/>
                <w:sz w:val="20"/>
              </w:rPr>
              <w:t>9</w:t>
            </w:r>
          </w:p>
        </w:tc>
        <w:tc>
          <w:tcPr>
            <w:tcW w:w="710" w:type="dxa"/>
          </w:tcPr>
          <w:p>
            <w:pPr>
              <w:pStyle w:val="TableParagraph"/>
              <w:ind w:left="109"/>
              <w:rPr>
                <w:b/>
                <w:sz w:val="20"/>
              </w:rPr>
            </w:pPr>
            <w:r>
              <w:rPr>
                <w:b/>
                <w:spacing w:val="-5"/>
                <w:sz w:val="20"/>
              </w:rPr>
              <w:t>32%</w:t>
            </w:r>
          </w:p>
        </w:tc>
      </w:tr>
      <w:tr>
        <w:trPr>
          <w:trHeight w:val="460" w:hRule="atLeast"/>
        </w:trPr>
        <w:tc>
          <w:tcPr>
            <w:tcW w:w="765" w:type="dxa"/>
          </w:tcPr>
          <w:p>
            <w:pPr>
              <w:pStyle w:val="TableParagraph"/>
              <w:rPr>
                <w:sz w:val="20"/>
              </w:rPr>
            </w:pPr>
            <w:r>
              <w:rPr>
                <w:sz w:val="20"/>
              </w:rPr>
              <w:t>51-</w:t>
            </w:r>
            <w:r>
              <w:rPr>
                <w:spacing w:val="-5"/>
                <w:sz w:val="20"/>
              </w:rPr>
              <w:t>60</w:t>
            </w:r>
          </w:p>
          <w:p>
            <w:pPr>
              <w:pStyle w:val="TableParagraph"/>
              <w:spacing w:line="214" w:lineRule="exact"/>
              <w:rPr>
                <w:sz w:val="20"/>
              </w:rPr>
            </w:pPr>
            <w:r>
              <w:rPr>
                <w:spacing w:val="-2"/>
                <w:sz w:val="20"/>
              </w:rPr>
              <w:t>tahun</w:t>
            </w:r>
          </w:p>
        </w:tc>
        <w:tc>
          <w:tcPr>
            <w:tcW w:w="991" w:type="dxa"/>
          </w:tcPr>
          <w:p>
            <w:pPr>
              <w:pStyle w:val="TableParagraph"/>
              <w:ind w:left="0" w:right="16"/>
              <w:jc w:val="center"/>
              <w:rPr>
                <w:sz w:val="20"/>
              </w:rPr>
            </w:pPr>
            <w:r>
              <w:rPr>
                <w:spacing w:val="-10"/>
                <w:sz w:val="20"/>
              </w:rPr>
              <w:t>4</w:t>
            </w:r>
          </w:p>
        </w:tc>
        <w:tc>
          <w:tcPr>
            <w:tcW w:w="1209" w:type="dxa"/>
          </w:tcPr>
          <w:p>
            <w:pPr>
              <w:pStyle w:val="TableParagraph"/>
              <w:ind w:left="565"/>
              <w:rPr>
                <w:sz w:val="20"/>
              </w:rPr>
            </w:pPr>
            <w:r>
              <w:rPr>
                <w:spacing w:val="-10"/>
                <w:sz w:val="20"/>
              </w:rPr>
              <w:t>4</w:t>
            </w:r>
          </w:p>
        </w:tc>
        <w:tc>
          <w:tcPr>
            <w:tcW w:w="428" w:type="dxa"/>
          </w:tcPr>
          <w:p>
            <w:pPr>
              <w:pStyle w:val="TableParagraph"/>
              <w:ind w:left="117"/>
              <w:rPr>
                <w:sz w:val="20"/>
              </w:rPr>
            </w:pPr>
            <w:r>
              <w:rPr>
                <w:spacing w:val="-10"/>
                <w:sz w:val="20"/>
              </w:rPr>
              <w:t>8</w:t>
            </w:r>
          </w:p>
        </w:tc>
        <w:tc>
          <w:tcPr>
            <w:tcW w:w="710" w:type="dxa"/>
          </w:tcPr>
          <w:p>
            <w:pPr>
              <w:pStyle w:val="TableParagraph"/>
              <w:ind w:left="109"/>
              <w:rPr>
                <w:b/>
                <w:sz w:val="20"/>
              </w:rPr>
            </w:pPr>
            <w:r>
              <w:rPr>
                <w:b/>
                <w:spacing w:val="-2"/>
                <w:sz w:val="20"/>
              </w:rPr>
              <w:t>28,8%</w:t>
            </w:r>
          </w:p>
        </w:tc>
      </w:tr>
      <w:tr>
        <w:trPr>
          <w:trHeight w:val="460" w:hRule="atLeast"/>
        </w:trPr>
        <w:tc>
          <w:tcPr>
            <w:tcW w:w="765" w:type="dxa"/>
          </w:tcPr>
          <w:p>
            <w:pPr>
              <w:pStyle w:val="TableParagraph"/>
              <w:rPr>
                <w:sz w:val="20"/>
              </w:rPr>
            </w:pPr>
            <w:r>
              <w:rPr>
                <w:spacing w:val="-5"/>
                <w:sz w:val="20"/>
              </w:rPr>
              <w:t>&gt;60</w:t>
            </w:r>
          </w:p>
          <w:p>
            <w:pPr>
              <w:pStyle w:val="TableParagraph"/>
              <w:spacing w:line="214" w:lineRule="exact"/>
              <w:rPr>
                <w:sz w:val="20"/>
              </w:rPr>
            </w:pPr>
            <w:r>
              <w:rPr>
                <w:spacing w:val="-2"/>
                <w:sz w:val="20"/>
              </w:rPr>
              <w:t>tahun</w:t>
            </w:r>
          </w:p>
        </w:tc>
        <w:tc>
          <w:tcPr>
            <w:tcW w:w="991" w:type="dxa"/>
          </w:tcPr>
          <w:p>
            <w:pPr>
              <w:pStyle w:val="TableParagraph"/>
              <w:ind w:left="0" w:right="16"/>
              <w:jc w:val="center"/>
              <w:rPr>
                <w:sz w:val="20"/>
              </w:rPr>
            </w:pPr>
            <w:r>
              <w:rPr>
                <w:spacing w:val="-10"/>
                <w:sz w:val="20"/>
              </w:rPr>
              <w:t>2</w:t>
            </w:r>
          </w:p>
        </w:tc>
        <w:tc>
          <w:tcPr>
            <w:tcW w:w="1209" w:type="dxa"/>
          </w:tcPr>
          <w:p>
            <w:pPr>
              <w:pStyle w:val="TableParagraph"/>
              <w:ind w:left="565"/>
              <w:rPr>
                <w:sz w:val="20"/>
              </w:rPr>
            </w:pPr>
            <w:r>
              <w:rPr>
                <w:spacing w:val="-10"/>
                <w:sz w:val="20"/>
              </w:rPr>
              <w:t>5</w:t>
            </w:r>
          </w:p>
        </w:tc>
        <w:tc>
          <w:tcPr>
            <w:tcW w:w="428" w:type="dxa"/>
          </w:tcPr>
          <w:p>
            <w:pPr>
              <w:pStyle w:val="TableParagraph"/>
              <w:ind w:left="117"/>
              <w:rPr>
                <w:sz w:val="20"/>
              </w:rPr>
            </w:pPr>
            <w:r>
              <w:rPr>
                <w:spacing w:val="-10"/>
                <w:sz w:val="20"/>
              </w:rPr>
              <w:t>7</w:t>
            </w:r>
          </w:p>
        </w:tc>
        <w:tc>
          <w:tcPr>
            <w:tcW w:w="710" w:type="dxa"/>
          </w:tcPr>
          <w:p>
            <w:pPr>
              <w:pStyle w:val="TableParagraph"/>
              <w:ind w:left="109"/>
              <w:rPr>
                <w:b/>
                <w:sz w:val="20"/>
              </w:rPr>
            </w:pPr>
            <w:r>
              <w:rPr>
                <w:b/>
                <w:spacing w:val="-5"/>
                <w:sz w:val="20"/>
              </w:rPr>
              <w:t>25%</w:t>
            </w:r>
          </w:p>
        </w:tc>
      </w:tr>
      <w:tr>
        <w:trPr>
          <w:trHeight w:val="225" w:hRule="atLeast"/>
        </w:trPr>
        <w:tc>
          <w:tcPr>
            <w:tcW w:w="765" w:type="dxa"/>
          </w:tcPr>
          <w:p>
            <w:pPr>
              <w:pStyle w:val="TableParagraph"/>
              <w:tabs>
                <w:tab w:pos="1151" w:val="left" w:leader="none"/>
              </w:tabs>
              <w:spacing w:line="206" w:lineRule="exact"/>
              <w:ind w:left="-70" w:right="-389"/>
              <w:rPr>
                <w:sz w:val="20"/>
              </w:rPr>
            </w:pPr>
            <w:r>
              <w:rPr>
                <w:spacing w:val="70"/>
                <w:sz w:val="20"/>
                <w:u w:val="single" w:color="7E7E7E"/>
              </w:rPr>
              <w:t> </w:t>
            </w:r>
            <w:r>
              <w:rPr>
                <w:spacing w:val="-2"/>
                <w:sz w:val="20"/>
                <w:u w:val="single" w:color="7E7E7E"/>
              </w:rPr>
              <w:t>Jumlah</w:t>
            </w:r>
            <w:r>
              <w:rPr>
                <w:sz w:val="20"/>
                <w:u w:val="single" w:color="7E7E7E"/>
              </w:rPr>
              <w:tab/>
            </w:r>
          </w:p>
        </w:tc>
        <w:tc>
          <w:tcPr>
            <w:tcW w:w="991" w:type="dxa"/>
          </w:tcPr>
          <w:p>
            <w:pPr>
              <w:pStyle w:val="TableParagraph"/>
              <w:tabs>
                <w:tab w:pos="1506" w:val="left" w:leader="none"/>
              </w:tabs>
              <w:spacing w:line="206" w:lineRule="exact"/>
              <w:ind w:left="386" w:right="-519"/>
              <w:rPr>
                <w:sz w:val="20"/>
              </w:rPr>
            </w:pPr>
            <w:r>
              <w:rPr>
                <w:spacing w:val="-5"/>
                <w:sz w:val="20"/>
                <w:u w:val="single" w:color="7E7E7E"/>
              </w:rPr>
              <w:t>14</w:t>
            </w:r>
            <w:r>
              <w:rPr>
                <w:sz w:val="20"/>
                <w:u w:val="single" w:color="7E7E7E"/>
              </w:rPr>
              <w:tab/>
            </w:r>
          </w:p>
        </w:tc>
        <w:tc>
          <w:tcPr>
            <w:tcW w:w="1209" w:type="dxa"/>
          </w:tcPr>
          <w:p>
            <w:pPr>
              <w:pStyle w:val="TableParagraph"/>
              <w:tabs>
                <w:tab w:pos="1326" w:val="left" w:leader="none"/>
              </w:tabs>
              <w:spacing w:line="206" w:lineRule="exact"/>
              <w:ind w:left="515" w:right="-130"/>
              <w:rPr>
                <w:sz w:val="20"/>
              </w:rPr>
            </w:pPr>
            <w:r>
              <w:rPr>
                <w:spacing w:val="-5"/>
                <w:sz w:val="20"/>
                <w:u w:val="single" w:color="7E7E7E"/>
              </w:rPr>
              <w:t>14</w:t>
            </w:r>
            <w:r>
              <w:rPr>
                <w:sz w:val="20"/>
                <w:u w:val="single" w:color="7E7E7E"/>
              </w:rPr>
              <w:tab/>
            </w:r>
          </w:p>
        </w:tc>
        <w:tc>
          <w:tcPr>
            <w:tcW w:w="428" w:type="dxa"/>
          </w:tcPr>
          <w:p>
            <w:pPr>
              <w:pStyle w:val="TableParagraph"/>
              <w:tabs>
                <w:tab w:pos="537" w:val="left" w:leader="none"/>
              </w:tabs>
              <w:spacing w:line="206" w:lineRule="exact"/>
              <w:ind w:left="117" w:right="-116"/>
              <w:rPr>
                <w:sz w:val="20"/>
              </w:rPr>
            </w:pPr>
            <w:r>
              <w:rPr>
                <w:spacing w:val="-5"/>
                <w:sz w:val="20"/>
                <w:u w:val="single" w:color="7E7E7E"/>
              </w:rPr>
              <w:t>28</w:t>
            </w:r>
            <w:r>
              <w:rPr>
                <w:sz w:val="20"/>
                <w:u w:val="single" w:color="7E7E7E"/>
              </w:rPr>
              <w:tab/>
            </w:r>
          </w:p>
        </w:tc>
        <w:tc>
          <w:tcPr>
            <w:tcW w:w="710" w:type="dxa"/>
          </w:tcPr>
          <w:p>
            <w:pPr>
              <w:pStyle w:val="TableParagraph"/>
              <w:spacing w:line="206" w:lineRule="exact"/>
              <w:ind w:left="109" w:right="-58"/>
              <w:rPr>
                <w:b/>
                <w:sz w:val="20"/>
              </w:rPr>
            </w:pPr>
            <w:r>
              <w:rPr>
                <w:b/>
                <w:spacing w:val="-4"/>
                <w:sz w:val="20"/>
                <w:u w:val="single" w:color="7E7E7E"/>
              </w:rPr>
              <w:t>100%</w:t>
            </w:r>
            <w:r>
              <w:rPr>
                <w:b/>
                <w:spacing w:val="40"/>
                <w:sz w:val="20"/>
                <w:u w:val="single" w:color="7E7E7E"/>
              </w:rPr>
              <w:t> </w:t>
            </w:r>
          </w:p>
        </w:tc>
      </w:tr>
    </w:tbl>
    <w:p>
      <w:pPr>
        <w:pStyle w:val="BodyText"/>
        <w:spacing w:before="31"/>
        <w:ind w:left="718" w:right="42" w:hanging="190"/>
      </w:pPr>
      <w:r>
        <w:rPr/>
        <w:t>Sumber: Data primer yang telah</w:t>
      </w:r>
      <w:r>
        <w:rPr>
          <w:spacing w:val="-7"/>
        </w:rPr>
        <w:t> </w:t>
      </w:r>
      <w:r>
        <w:rPr/>
        <w:t>diolah</w:t>
      </w:r>
      <w:r>
        <w:rPr>
          <w:spacing w:val="-7"/>
        </w:rPr>
        <w:t> </w:t>
      </w:r>
      <w:r>
        <w:rPr/>
        <w:t>tahun 2026 Tabel</w:t>
      </w:r>
      <w:r>
        <w:rPr>
          <w:spacing w:val="-1"/>
        </w:rPr>
        <w:t> </w:t>
      </w:r>
      <w:r>
        <w:rPr/>
        <w:t>1.1</w:t>
      </w:r>
      <w:r>
        <w:rPr>
          <w:spacing w:val="-4"/>
        </w:rPr>
        <w:t> </w:t>
      </w:r>
      <w:r>
        <w:rPr/>
        <w:t>menunjukkan</w:t>
      </w:r>
      <w:r>
        <w:rPr>
          <w:spacing w:val="-4"/>
        </w:rPr>
        <w:t> </w:t>
      </w:r>
      <w:r>
        <w:rPr/>
        <w:t>distribusi</w:t>
      </w:r>
      <w:r>
        <w:rPr>
          <w:spacing w:val="-1"/>
        </w:rPr>
        <w:t> </w:t>
      </w:r>
      <w:r>
        <w:rPr/>
        <w:t>usia</w:t>
      </w:r>
      <w:r>
        <w:rPr>
          <w:spacing w:val="-12"/>
        </w:rPr>
        <w:t> </w:t>
      </w:r>
      <w:r>
        <w:rPr>
          <w:spacing w:val="-2"/>
        </w:rPr>
        <w:t>responden</w:t>
      </w:r>
    </w:p>
    <w:p>
      <w:pPr>
        <w:pStyle w:val="BodyText"/>
        <w:ind w:left="428" w:right="39"/>
      </w:pPr>
      <w:r>
        <w:rPr/>
        <w:t>penelitian</w:t>
      </w:r>
      <w:r>
        <w:rPr>
          <w:spacing w:val="-11"/>
        </w:rPr>
        <w:t> </w:t>
      </w:r>
      <w:r>
        <w:rPr/>
        <w:t>berdasarkan</w:t>
      </w:r>
      <w:r>
        <w:rPr>
          <w:spacing w:val="-11"/>
        </w:rPr>
        <w:t> </w:t>
      </w:r>
      <w:r>
        <w:rPr/>
        <w:t>kelompok</w:t>
      </w:r>
      <w:r>
        <w:rPr>
          <w:spacing w:val="-11"/>
        </w:rPr>
        <w:t> </w:t>
      </w:r>
      <w:r>
        <w:rPr/>
        <w:t>umur.</w:t>
      </w:r>
      <w:r>
        <w:rPr>
          <w:spacing w:val="-11"/>
        </w:rPr>
        <w:t> </w:t>
      </w:r>
      <w:r>
        <w:rPr/>
        <w:t>Berdasarkan tabel 1.1, dapat diketahui bahwa usia responden dalam penelitian ini cukup beragam, mulai dari kelompok</w:t>
      </w:r>
      <w:r>
        <w:rPr>
          <w:spacing w:val="-7"/>
        </w:rPr>
        <w:t> </w:t>
      </w:r>
      <w:r>
        <w:rPr/>
        <w:t>usia</w:t>
      </w:r>
      <w:r>
        <w:rPr>
          <w:spacing w:val="-5"/>
        </w:rPr>
        <w:t> </w:t>
      </w:r>
      <w:r>
        <w:rPr/>
        <w:t>dewasa</w:t>
      </w:r>
      <w:r>
        <w:rPr>
          <w:spacing w:val="-13"/>
        </w:rPr>
        <w:t> </w:t>
      </w:r>
      <w:r>
        <w:rPr/>
        <w:t>hingga</w:t>
      </w:r>
      <w:r>
        <w:rPr>
          <w:spacing w:val="-12"/>
        </w:rPr>
        <w:t> </w:t>
      </w:r>
      <w:r>
        <w:rPr/>
        <w:t>lanjut</w:t>
      </w:r>
      <w:r>
        <w:rPr>
          <w:spacing w:val="-2"/>
        </w:rPr>
        <w:t> </w:t>
      </w:r>
      <w:r>
        <w:rPr/>
        <w:t>usia.</w:t>
      </w:r>
      <w:r>
        <w:rPr>
          <w:spacing w:val="-6"/>
        </w:rPr>
        <w:t> </w:t>
      </w:r>
      <w:r>
        <w:rPr/>
        <w:t>Kelompok usia</w:t>
      </w:r>
      <w:r>
        <w:rPr>
          <w:spacing w:val="-11"/>
        </w:rPr>
        <w:t> </w:t>
      </w:r>
      <w:r>
        <w:rPr/>
        <w:t>yang</w:t>
      </w:r>
      <w:r>
        <w:rPr>
          <w:spacing w:val="-12"/>
        </w:rPr>
        <w:t> </w:t>
      </w:r>
      <w:r>
        <w:rPr/>
        <w:t>paling</w:t>
      </w:r>
      <w:r>
        <w:rPr>
          <w:spacing w:val="-12"/>
        </w:rPr>
        <w:t> </w:t>
      </w:r>
      <w:r>
        <w:rPr/>
        <w:t>banyak</w:t>
      </w:r>
      <w:r>
        <w:rPr>
          <w:spacing w:val="-12"/>
        </w:rPr>
        <w:t> </w:t>
      </w:r>
      <w:r>
        <w:rPr/>
        <w:t>ditemukan</w:t>
      </w:r>
      <w:r>
        <w:rPr>
          <w:spacing w:val="-12"/>
        </w:rPr>
        <w:t> </w:t>
      </w:r>
      <w:r>
        <w:rPr/>
        <w:t>adalah</w:t>
      </w:r>
      <w:r>
        <w:rPr>
          <w:spacing w:val="-12"/>
        </w:rPr>
        <w:t> </w:t>
      </w:r>
      <w:r>
        <w:rPr/>
        <w:t>kelompok usia</w:t>
      </w:r>
      <w:r>
        <w:rPr>
          <w:spacing w:val="1"/>
        </w:rPr>
        <w:t> </w:t>
      </w:r>
      <w:r>
        <w:rPr/>
        <w:t>41-50</w:t>
      </w:r>
      <w:r>
        <w:rPr>
          <w:spacing w:val="-10"/>
        </w:rPr>
        <w:t> </w:t>
      </w:r>
      <w:r>
        <w:rPr/>
        <w:t>tahun sebanyak 6</w:t>
      </w:r>
      <w:r>
        <w:rPr>
          <w:spacing w:val="1"/>
        </w:rPr>
        <w:t> </w:t>
      </w:r>
      <w:r>
        <w:rPr/>
        <w:t>orang atau sebesar</w:t>
      </w:r>
      <w:r>
        <w:rPr>
          <w:spacing w:val="4"/>
        </w:rPr>
        <w:t> </w:t>
      </w:r>
      <w:r>
        <w:rPr>
          <w:spacing w:val="-5"/>
        </w:rPr>
        <w:t>32%</w:t>
      </w:r>
    </w:p>
    <w:p>
      <w:pPr>
        <w:pStyle w:val="BodyText"/>
        <w:spacing w:before="81"/>
        <w:ind w:left="428" w:right="270"/>
      </w:pPr>
      <w:r>
        <w:rPr/>
        <w:br w:type="column"/>
      </w:r>
      <w:r>
        <w:rPr/>
        <w:t>orang, sedangkan kelompok usia paling sedikit berada</w:t>
      </w:r>
      <w:r>
        <w:rPr>
          <w:spacing w:val="-11"/>
        </w:rPr>
        <w:t> </w:t>
      </w:r>
      <w:r>
        <w:rPr/>
        <w:t>pada</w:t>
      </w:r>
      <w:r>
        <w:rPr>
          <w:spacing w:val="-11"/>
        </w:rPr>
        <w:t> </w:t>
      </w:r>
      <w:r>
        <w:rPr/>
        <w:t>rentang</w:t>
      </w:r>
      <w:r>
        <w:rPr>
          <w:spacing w:val="-12"/>
        </w:rPr>
        <w:t> </w:t>
      </w:r>
      <w:r>
        <w:rPr/>
        <w:t>31-40</w:t>
      </w:r>
      <w:r>
        <w:rPr>
          <w:spacing w:val="-12"/>
        </w:rPr>
        <w:t> </w:t>
      </w:r>
      <w:r>
        <w:rPr/>
        <w:t>tahun</w:t>
      </w:r>
      <w:r>
        <w:rPr>
          <w:spacing w:val="-12"/>
        </w:rPr>
        <w:t> </w:t>
      </w:r>
      <w:r>
        <w:rPr/>
        <w:t>sebanyak</w:t>
      </w:r>
      <w:r>
        <w:rPr>
          <w:spacing w:val="-10"/>
        </w:rPr>
        <w:t> </w:t>
      </w:r>
      <w:r>
        <w:rPr/>
        <w:t>dua</w:t>
      </w:r>
      <w:r>
        <w:rPr>
          <w:spacing w:val="-11"/>
        </w:rPr>
        <w:t> </w:t>
      </w:r>
      <w:r>
        <w:rPr/>
        <w:t>orang atau sebesar 14,2%.</w:t>
      </w:r>
    </w:p>
    <w:p>
      <w:pPr>
        <w:pStyle w:val="BodyText"/>
        <w:spacing w:before="1"/>
        <w:jc w:val="left"/>
      </w:pPr>
    </w:p>
    <w:p>
      <w:pPr>
        <w:pStyle w:val="Heading2"/>
        <w:numPr>
          <w:ilvl w:val="1"/>
          <w:numId w:val="1"/>
        </w:numPr>
        <w:tabs>
          <w:tab w:pos="326" w:val="left" w:leader="none"/>
        </w:tabs>
        <w:spacing w:line="240" w:lineRule="auto" w:before="0" w:after="0"/>
        <w:ind w:left="326" w:right="0" w:hanging="199"/>
        <w:jc w:val="left"/>
      </w:pPr>
      <w:r>
        <w:rPr/>
        <w:t>Tingkat</w:t>
      </w:r>
      <w:r>
        <w:rPr>
          <w:spacing w:val="-2"/>
        </w:rPr>
        <w:t> Pendidikan</w:t>
      </w:r>
    </w:p>
    <w:p>
      <w:pPr>
        <w:spacing w:before="0"/>
        <w:ind w:left="278" w:right="0" w:firstLine="0"/>
        <w:jc w:val="both"/>
        <w:rPr>
          <w:b/>
          <w:sz w:val="20"/>
        </w:rPr>
      </w:pPr>
      <w:r>
        <w:rPr>
          <w:b/>
          <w:spacing w:val="68"/>
          <w:w w:val="150"/>
          <w:sz w:val="20"/>
          <w:u w:val="single" w:color="7E7E7E"/>
        </w:rPr>
        <w:t>   </w:t>
      </w:r>
      <w:r>
        <w:rPr>
          <w:b/>
          <w:sz w:val="20"/>
          <w:u w:val="single" w:color="7E7E7E"/>
        </w:rPr>
        <w:t>Tabel</w:t>
      </w:r>
      <w:r>
        <w:rPr>
          <w:b/>
          <w:spacing w:val="5"/>
          <w:sz w:val="20"/>
          <w:u w:val="single" w:color="7E7E7E"/>
        </w:rPr>
        <w:t> </w:t>
      </w:r>
      <w:r>
        <w:rPr>
          <w:b/>
          <w:sz w:val="20"/>
          <w:u w:val="single" w:color="7E7E7E"/>
        </w:rPr>
        <w:t>1.2</w:t>
      </w:r>
      <w:r>
        <w:rPr>
          <w:b/>
          <w:spacing w:val="-1"/>
          <w:sz w:val="20"/>
          <w:u w:val="single" w:color="7E7E7E"/>
        </w:rPr>
        <w:t> </w:t>
      </w:r>
      <w:r>
        <w:rPr>
          <w:b/>
          <w:sz w:val="20"/>
          <w:u w:val="single" w:color="7E7E7E"/>
        </w:rPr>
        <w:t>Tingkat</w:t>
      </w:r>
      <w:r>
        <w:rPr>
          <w:b/>
          <w:spacing w:val="2"/>
          <w:sz w:val="20"/>
          <w:u w:val="single" w:color="7E7E7E"/>
        </w:rPr>
        <w:t> </w:t>
      </w:r>
      <w:r>
        <w:rPr>
          <w:b/>
          <w:sz w:val="20"/>
          <w:u w:val="single" w:color="7E7E7E"/>
        </w:rPr>
        <w:t>Pendidikan</w:t>
      </w:r>
      <w:r>
        <w:rPr>
          <w:b/>
          <w:spacing w:val="-3"/>
          <w:sz w:val="20"/>
          <w:u w:val="single" w:color="7E7E7E"/>
        </w:rPr>
        <w:t> </w:t>
      </w:r>
      <w:r>
        <w:rPr>
          <w:b/>
          <w:spacing w:val="-2"/>
          <w:sz w:val="20"/>
          <w:u w:val="single" w:color="7E7E7E"/>
        </w:rPr>
        <w:t>Responden</w:t>
      </w:r>
      <w:r>
        <w:rPr>
          <w:b/>
          <w:spacing w:val="80"/>
          <w:w w:val="150"/>
          <w:sz w:val="20"/>
          <w:u w:val="single" w:color="7E7E7E"/>
        </w:rPr>
        <w:t>  </w:t>
      </w:r>
    </w:p>
    <w:tbl>
      <w:tblPr>
        <w:tblW w:w="0" w:type="auto"/>
        <w:jc w:val="left"/>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6"/>
        <w:gridCol w:w="1016"/>
        <w:gridCol w:w="1161"/>
        <w:gridCol w:w="421"/>
        <w:gridCol w:w="711"/>
      </w:tblGrid>
      <w:tr>
        <w:trPr>
          <w:trHeight w:val="419" w:hRule="atLeast"/>
        </w:trPr>
        <w:tc>
          <w:tcPr>
            <w:tcW w:w="1066" w:type="dxa"/>
          </w:tcPr>
          <w:p>
            <w:pPr>
              <w:pStyle w:val="TableParagraph"/>
              <w:spacing w:line="199" w:lineRule="exact"/>
              <w:ind w:left="130"/>
              <w:rPr>
                <w:b/>
                <w:sz w:val="18"/>
              </w:rPr>
            </w:pPr>
            <w:r>
              <w:rPr>
                <w:b/>
                <w:spacing w:val="-2"/>
                <w:sz w:val="18"/>
              </w:rPr>
              <w:t>Jenjang</w:t>
            </w:r>
          </w:p>
        </w:tc>
        <w:tc>
          <w:tcPr>
            <w:tcW w:w="1016" w:type="dxa"/>
          </w:tcPr>
          <w:p>
            <w:pPr>
              <w:pStyle w:val="TableParagraph"/>
              <w:spacing w:line="199" w:lineRule="exact"/>
              <w:ind w:left="195"/>
              <w:rPr>
                <w:b/>
                <w:sz w:val="18"/>
              </w:rPr>
            </w:pPr>
            <w:r>
              <w:rPr>
                <w:b/>
                <w:spacing w:val="-2"/>
                <w:sz w:val="18"/>
              </w:rPr>
              <w:t>Genteng</w:t>
            </w:r>
          </w:p>
        </w:tc>
        <w:tc>
          <w:tcPr>
            <w:tcW w:w="1161" w:type="dxa"/>
          </w:tcPr>
          <w:p>
            <w:pPr>
              <w:pStyle w:val="TableParagraph"/>
              <w:spacing w:line="199" w:lineRule="exact"/>
              <w:ind w:left="170"/>
              <w:rPr>
                <w:b/>
                <w:sz w:val="18"/>
              </w:rPr>
            </w:pPr>
            <w:r>
              <w:rPr>
                <w:b/>
                <w:spacing w:val="-2"/>
                <w:sz w:val="18"/>
              </w:rPr>
              <w:t>Tanah</w:t>
            </w:r>
            <w:r>
              <w:rPr>
                <w:b/>
                <w:spacing w:val="-9"/>
                <w:sz w:val="18"/>
              </w:rPr>
              <w:t> </w:t>
            </w:r>
            <w:r>
              <w:rPr>
                <w:b/>
                <w:spacing w:val="-4"/>
                <w:sz w:val="18"/>
              </w:rPr>
              <w:t>Kali</w:t>
            </w:r>
          </w:p>
          <w:p>
            <w:pPr>
              <w:pStyle w:val="TableParagraph"/>
              <w:tabs>
                <w:tab w:pos="2291" w:val="left" w:leader="none"/>
              </w:tabs>
              <w:spacing w:line="197" w:lineRule="exact" w:before="3"/>
              <w:ind w:left="-2072" w:right="-1138"/>
              <w:rPr>
                <w:b/>
                <w:sz w:val="18"/>
              </w:rPr>
            </w:pPr>
            <w:r>
              <w:rPr>
                <w:spacing w:val="72"/>
                <w:w w:val="150"/>
                <w:sz w:val="18"/>
                <w:u w:val="single" w:color="7E7E7E"/>
              </w:rPr>
              <w:t>                </w:t>
            </w:r>
            <w:r>
              <w:rPr>
                <w:b/>
                <w:spacing w:val="-2"/>
                <w:sz w:val="18"/>
                <w:u w:val="single" w:color="7E7E7E"/>
              </w:rPr>
              <w:t>Kedinding</w:t>
            </w:r>
            <w:r>
              <w:rPr>
                <w:b/>
                <w:sz w:val="18"/>
                <w:u w:val="single" w:color="7E7E7E"/>
              </w:rPr>
              <w:tab/>
            </w:r>
          </w:p>
        </w:tc>
        <w:tc>
          <w:tcPr>
            <w:tcW w:w="421" w:type="dxa"/>
          </w:tcPr>
          <w:p>
            <w:pPr>
              <w:pStyle w:val="TableParagraph"/>
              <w:spacing w:line="199" w:lineRule="exact"/>
              <w:ind w:left="19" w:right="68"/>
              <w:jc w:val="center"/>
              <w:rPr>
                <w:b/>
                <w:sz w:val="18"/>
              </w:rPr>
            </w:pPr>
            <w:r>
              <w:rPr>
                <w:b/>
                <w:spacing w:val="-10"/>
                <w:sz w:val="18"/>
              </w:rPr>
              <w:t>F</w:t>
            </w:r>
          </w:p>
        </w:tc>
        <w:tc>
          <w:tcPr>
            <w:tcW w:w="711" w:type="dxa"/>
          </w:tcPr>
          <w:p>
            <w:pPr>
              <w:pStyle w:val="TableParagraph"/>
              <w:spacing w:line="199" w:lineRule="exact"/>
              <w:ind w:left="109"/>
              <w:rPr>
                <w:b/>
                <w:sz w:val="18"/>
              </w:rPr>
            </w:pPr>
            <w:r>
              <w:rPr>
                <w:b/>
                <w:spacing w:val="-5"/>
                <w:sz w:val="18"/>
              </w:rPr>
              <w:t>(%)</w:t>
            </w:r>
          </w:p>
        </w:tc>
      </w:tr>
      <w:tr>
        <w:trPr>
          <w:trHeight w:val="210" w:hRule="atLeast"/>
        </w:trPr>
        <w:tc>
          <w:tcPr>
            <w:tcW w:w="1066" w:type="dxa"/>
          </w:tcPr>
          <w:p>
            <w:pPr>
              <w:pStyle w:val="TableParagraph"/>
              <w:spacing w:line="187" w:lineRule="exact" w:before="2"/>
              <w:ind w:left="130"/>
              <w:rPr>
                <w:sz w:val="18"/>
              </w:rPr>
            </w:pPr>
            <w:r>
              <w:rPr>
                <w:spacing w:val="-5"/>
                <w:sz w:val="18"/>
              </w:rPr>
              <w:t>SD</w:t>
            </w:r>
          </w:p>
        </w:tc>
        <w:tc>
          <w:tcPr>
            <w:tcW w:w="1016" w:type="dxa"/>
          </w:tcPr>
          <w:p>
            <w:pPr>
              <w:pStyle w:val="TableParagraph"/>
              <w:spacing w:line="187" w:lineRule="exact" w:before="2"/>
              <w:ind w:left="155" w:right="10"/>
              <w:jc w:val="center"/>
              <w:rPr>
                <w:sz w:val="18"/>
              </w:rPr>
            </w:pPr>
            <w:r>
              <w:rPr>
                <w:spacing w:val="-10"/>
                <w:sz w:val="18"/>
              </w:rPr>
              <w:t>3</w:t>
            </w:r>
          </w:p>
        </w:tc>
        <w:tc>
          <w:tcPr>
            <w:tcW w:w="1161" w:type="dxa"/>
          </w:tcPr>
          <w:p>
            <w:pPr>
              <w:pStyle w:val="TableParagraph"/>
              <w:spacing w:line="187" w:lineRule="exact" w:before="2"/>
              <w:ind w:left="90"/>
              <w:jc w:val="center"/>
              <w:rPr>
                <w:sz w:val="18"/>
              </w:rPr>
            </w:pPr>
            <w:r>
              <w:rPr>
                <w:spacing w:val="-10"/>
                <w:sz w:val="18"/>
              </w:rPr>
              <w:t>7</w:t>
            </w:r>
          </w:p>
        </w:tc>
        <w:tc>
          <w:tcPr>
            <w:tcW w:w="421" w:type="dxa"/>
          </w:tcPr>
          <w:p>
            <w:pPr>
              <w:pStyle w:val="TableParagraph"/>
              <w:spacing w:line="187" w:lineRule="exact" w:before="2"/>
              <w:ind w:left="68" w:right="49"/>
              <w:jc w:val="center"/>
              <w:rPr>
                <w:sz w:val="18"/>
              </w:rPr>
            </w:pPr>
            <w:r>
              <w:rPr>
                <w:spacing w:val="-5"/>
                <w:sz w:val="18"/>
              </w:rPr>
              <w:t>10</w:t>
            </w:r>
          </w:p>
        </w:tc>
        <w:tc>
          <w:tcPr>
            <w:tcW w:w="711" w:type="dxa"/>
          </w:tcPr>
          <w:p>
            <w:pPr>
              <w:pStyle w:val="TableParagraph"/>
              <w:spacing w:line="187" w:lineRule="exact" w:before="2"/>
              <w:ind w:left="109"/>
              <w:rPr>
                <w:b/>
                <w:sz w:val="18"/>
              </w:rPr>
            </w:pPr>
            <w:r>
              <w:rPr>
                <w:b/>
                <w:spacing w:val="-2"/>
                <w:sz w:val="18"/>
              </w:rPr>
              <w:t>35,7%</w:t>
            </w:r>
          </w:p>
        </w:tc>
      </w:tr>
      <w:tr>
        <w:trPr>
          <w:trHeight w:val="205" w:hRule="atLeast"/>
        </w:trPr>
        <w:tc>
          <w:tcPr>
            <w:tcW w:w="1066" w:type="dxa"/>
          </w:tcPr>
          <w:p>
            <w:pPr>
              <w:pStyle w:val="TableParagraph"/>
              <w:spacing w:line="185" w:lineRule="exact"/>
              <w:ind w:left="130"/>
              <w:rPr>
                <w:sz w:val="18"/>
              </w:rPr>
            </w:pPr>
            <w:r>
              <w:rPr>
                <w:spacing w:val="-5"/>
                <w:sz w:val="18"/>
              </w:rPr>
              <w:t>SMP</w:t>
            </w:r>
          </w:p>
        </w:tc>
        <w:tc>
          <w:tcPr>
            <w:tcW w:w="1016" w:type="dxa"/>
          </w:tcPr>
          <w:p>
            <w:pPr>
              <w:pStyle w:val="TableParagraph"/>
              <w:spacing w:line="185" w:lineRule="exact"/>
              <w:ind w:left="155" w:right="10"/>
              <w:jc w:val="center"/>
              <w:rPr>
                <w:sz w:val="18"/>
              </w:rPr>
            </w:pPr>
            <w:r>
              <w:rPr>
                <w:spacing w:val="-10"/>
                <w:sz w:val="18"/>
              </w:rPr>
              <w:t>3</w:t>
            </w:r>
          </w:p>
        </w:tc>
        <w:tc>
          <w:tcPr>
            <w:tcW w:w="1161" w:type="dxa"/>
          </w:tcPr>
          <w:p>
            <w:pPr>
              <w:pStyle w:val="TableParagraph"/>
              <w:spacing w:line="185" w:lineRule="exact"/>
              <w:ind w:left="90"/>
              <w:jc w:val="center"/>
              <w:rPr>
                <w:sz w:val="18"/>
              </w:rPr>
            </w:pPr>
            <w:r>
              <w:rPr>
                <w:spacing w:val="-10"/>
                <w:sz w:val="18"/>
              </w:rPr>
              <w:t>4</w:t>
            </w:r>
          </w:p>
        </w:tc>
        <w:tc>
          <w:tcPr>
            <w:tcW w:w="421" w:type="dxa"/>
          </w:tcPr>
          <w:p>
            <w:pPr>
              <w:pStyle w:val="TableParagraph"/>
              <w:spacing w:line="185" w:lineRule="exact"/>
              <w:ind w:left="58" w:right="49"/>
              <w:jc w:val="center"/>
              <w:rPr>
                <w:sz w:val="18"/>
              </w:rPr>
            </w:pPr>
            <w:r>
              <w:rPr>
                <w:spacing w:val="-10"/>
                <w:sz w:val="18"/>
              </w:rPr>
              <w:t>7</w:t>
            </w:r>
          </w:p>
        </w:tc>
        <w:tc>
          <w:tcPr>
            <w:tcW w:w="711" w:type="dxa"/>
          </w:tcPr>
          <w:p>
            <w:pPr>
              <w:pStyle w:val="TableParagraph"/>
              <w:spacing w:line="185" w:lineRule="exact"/>
              <w:ind w:left="109"/>
              <w:rPr>
                <w:b/>
                <w:sz w:val="18"/>
              </w:rPr>
            </w:pPr>
            <w:r>
              <w:rPr>
                <w:b/>
                <w:spacing w:val="-5"/>
                <w:sz w:val="18"/>
              </w:rPr>
              <w:t>25%</w:t>
            </w:r>
          </w:p>
        </w:tc>
      </w:tr>
      <w:tr>
        <w:trPr>
          <w:trHeight w:val="210" w:hRule="atLeast"/>
        </w:trPr>
        <w:tc>
          <w:tcPr>
            <w:tcW w:w="1066" w:type="dxa"/>
          </w:tcPr>
          <w:p>
            <w:pPr>
              <w:pStyle w:val="TableParagraph"/>
              <w:spacing w:line="190" w:lineRule="exact"/>
              <w:ind w:left="130"/>
              <w:rPr>
                <w:sz w:val="18"/>
              </w:rPr>
            </w:pPr>
            <w:r>
              <w:rPr>
                <w:spacing w:val="-5"/>
                <w:sz w:val="18"/>
              </w:rPr>
              <w:t>SMA</w:t>
            </w:r>
          </w:p>
        </w:tc>
        <w:tc>
          <w:tcPr>
            <w:tcW w:w="1016" w:type="dxa"/>
          </w:tcPr>
          <w:p>
            <w:pPr>
              <w:pStyle w:val="TableParagraph"/>
              <w:spacing w:line="190" w:lineRule="exact"/>
              <w:ind w:left="155" w:right="10"/>
              <w:jc w:val="center"/>
              <w:rPr>
                <w:sz w:val="18"/>
              </w:rPr>
            </w:pPr>
            <w:r>
              <w:rPr>
                <w:spacing w:val="-10"/>
                <w:sz w:val="18"/>
              </w:rPr>
              <w:t>7</w:t>
            </w:r>
          </w:p>
        </w:tc>
        <w:tc>
          <w:tcPr>
            <w:tcW w:w="1161" w:type="dxa"/>
          </w:tcPr>
          <w:p>
            <w:pPr>
              <w:pStyle w:val="TableParagraph"/>
              <w:spacing w:line="190" w:lineRule="exact"/>
              <w:ind w:left="90"/>
              <w:jc w:val="center"/>
              <w:rPr>
                <w:sz w:val="18"/>
              </w:rPr>
            </w:pPr>
            <w:r>
              <w:rPr>
                <w:spacing w:val="-10"/>
                <w:sz w:val="18"/>
              </w:rPr>
              <w:t>3</w:t>
            </w:r>
          </w:p>
        </w:tc>
        <w:tc>
          <w:tcPr>
            <w:tcW w:w="421" w:type="dxa"/>
          </w:tcPr>
          <w:p>
            <w:pPr>
              <w:pStyle w:val="TableParagraph"/>
              <w:spacing w:line="190" w:lineRule="exact"/>
              <w:ind w:left="68" w:right="49"/>
              <w:jc w:val="center"/>
              <w:rPr>
                <w:sz w:val="18"/>
              </w:rPr>
            </w:pPr>
            <w:r>
              <w:rPr>
                <w:spacing w:val="-5"/>
                <w:sz w:val="18"/>
              </w:rPr>
              <w:t>10</w:t>
            </w:r>
          </w:p>
        </w:tc>
        <w:tc>
          <w:tcPr>
            <w:tcW w:w="711" w:type="dxa"/>
          </w:tcPr>
          <w:p>
            <w:pPr>
              <w:pStyle w:val="TableParagraph"/>
              <w:spacing w:line="190" w:lineRule="exact"/>
              <w:ind w:left="109"/>
              <w:rPr>
                <w:b/>
                <w:sz w:val="18"/>
              </w:rPr>
            </w:pPr>
            <w:r>
              <w:rPr>
                <w:b/>
                <w:spacing w:val="-2"/>
                <w:sz w:val="18"/>
              </w:rPr>
              <w:t>35,7%</w:t>
            </w:r>
          </w:p>
        </w:tc>
      </w:tr>
      <w:tr>
        <w:trPr>
          <w:trHeight w:val="415" w:hRule="atLeast"/>
        </w:trPr>
        <w:tc>
          <w:tcPr>
            <w:tcW w:w="1066" w:type="dxa"/>
          </w:tcPr>
          <w:p>
            <w:pPr>
              <w:pStyle w:val="TableParagraph"/>
              <w:spacing w:line="205" w:lineRule="exact"/>
              <w:ind w:left="130"/>
              <w:rPr>
                <w:sz w:val="18"/>
              </w:rPr>
            </w:pPr>
            <w:r>
              <w:rPr>
                <w:spacing w:val="-2"/>
                <w:sz w:val="18"/>
              </w:rPr>
              <w:t>Perguruan</w:t>
            </w:r>
          </w:p>
          <w:p>
            <w:pPr>
              <w:pStyle w:val="TableParagraph"/>
              <w:spacing w:line="187" w:lineRule="exact" w:before="3"/>
              <w:ind w:left="130"/>
              <w:rPr>
                <w:sz w:val="18"/>
              </w:rPr>
            </w:pPr>
            <w:r>
              <w:rPr>
                <w:spacing w:val="-2"/>
                <w:sz w:val="18"/>
              </w:rPr>
              <w:t>Tinggi</w:t>
            </w:r>
          </w:p>
        </w:tc>
        <w:tc>
          <w:tcPr>
            <w:tcW w:w="1016" w:type="dxa"/>
          </w:tcPr>
          <w:p>
            <w:pPr>
              <w:pStyle w:val="TableParagraph"/>
              <w:spacing w:line="240" w:lineRule="auto" w:before="97"/>
              <w:ind w:left="155" w:right="10"/>
              <w:jc w:val="center"/>
              <w:rPr>
                <w:sz w:val="18"/>
              </w:rPr>
            </w:pPr>
            <w:r>
              <w:rPr>
                <w:spacing w:val="-10"/>
                <w:sz w:val="18"/>
              </w:rPr>
              <w:t>1</w:t>
            </w:r>
          </w:p>
        </w:tc>
        <w:tc>
          <w:tcPr>
            <w:tcW w:w="1161" w:type="dxa"/>
          </w:tcPr>
          <w:p>
            <w:pPr>
              <w:pStyle w:val="TableParagraph"/>
              <w:spacing w:line="240" w:lineRule="auto" w:before="97"/>
              <w:ind w:left="90"/>
              <w:jc w:val="center"/>
              <w:rPr>
                <w:sz w:val="18"/>
              </w:rPr>
            </w:pPr>
            <w:r>
              <w:rPr>
                <w:spacing w:val="-10"/>
                <w:sz w:val="18"/>
              </w:rPr>
              <w:t>0</w:t>
            </w:r>
          </w:p>
        </w:tc>
        <w:tc>
          <w:tcPr>
            <w:tcW w:w="421" w:type="dxa"/>
          </w:tcPr>
          <w:p>
            <w:pPr>
              <w:pStyle w:val="TableParagraph"/>
              <w:spacing w:line="240" w:lineRule="auto" w:before="97"/>
              <w:ind w:left="58" w:right="49"/>
              <w:jc w:val="center"/>
              <w:rPr>
                <w:sz w:val="18"/>
              </w:rPr>
            </w:pPr>
            <w:r>
              <w:rPr>
                <w:spacing w:val="-10"/>
                <w:sz w:val="18"/>
              </w:rPr>
              <w:t>1</w:t>
            </w:r>
          </w:p>
        </w:tc>
        <w:tc>
          <w:tcPr>
            <w:tcW w:w="711" w:type="dxa"/>
          </w:tcPr>
          <w:p>
            <w:pPr>
              <w:pStyle w:val="TableParagraph"/>
              <w:spacing w:line="205" w:lineRule="exact"/>
              <w:ind w:left="109"/>
              <w:rPr>
                <w:b/>
                <w:sz w:val="18"/>
              </w:rPr>
            </w:pPr>
            <w:r>
              <w:rPr>
                <w:b/>
                <w:spacing w:val="-4"/>
                <w:sz w:val="18"/>
              </w:rPr>
              <w:t>3,6%</w:t>
            </w:r>
          </w:p>
        </w:tc>
      </w:tr>
      <w:tr>
        <w:trPr>
          <w:trHeight w:val="200" w:hRule="atLeast"/>
        </w:trPr>
        <w:tc>
          <w:tcPr>
            <w:tcW w:w="1066" w:type="dxa"/>
            <w:tcBorders>
              <w:bottom w:val="single" w:sz="4" w:space="0" w:color="7E7E7E"/>
            </w:tcBorders>
          </w:tcPr>
          <w:p>
            <w:pPr>
              <w:pStyle w:val="TableParagraph"/>
              <w:spacing w:line="181" w:lineRule="exact"/>
              <w:ind w:left="130"/>
              <w:rPr>
                <w:sz w:val="18"/>
              </w:rPr>
            </w:pPr>
            <w:r>
              <w:rPr>
                <w:spacing w:val="-2"/>
                <w:sz w:val="18"/>
              </w:rPr>
              <w:t>Jumlah</w:t>
            </w:r>
          </w:p>
        </w:tc>
        <w:tc>
          <w:tcPr>
            <w:tcW w:w="1016" w:type="dxa"/>
            <w:tcBorders>
              <w:bottom w:val="single" w:sz="4" w:space="0" w:color="7E7E7E"/>
            </w:tcBorders>
          </w:tcPr>
          <w:p>
            <w:pPr>
              <w:pStyle w:val="TableParagraph"/>
              <w:spacing w:line="181" w:lineRule="exact"/>
              <w:ind w:left="155"/>
              <w:jc w:val="center"/>
              <w:rPr>
                <w:sz w:val="18"/>
              </w:rPr>
            </w:pPr>
            <w:r>
              <w:rPr>
                <w:spacing w:val="-5"/>
                <w:sz w:val="18"/>
              </w:rPr>
              <w:t>14</w:t>
            </w:r>
          </w:p>
        </w:tc>
        <w:tc>
          <w:tcPr>
            <w:tcW w:w="1161" w:type="dxa"/>
            <w:tcBorders>
              <w:bottom w:val="single" w:sz="4" w:space="0" w:color="7E7E7E"/>
            </w:tcBorders>
          </w:tcPr>
          <w:p>
            <w:pPr>
              <w:pStyle w:val="TableParagraph"/>
              <w:spacing w:line="181" w:lineRule="exact"/>
              <w:ind w:left="90" w:right="10"/>
              <w:jc w:val="center"/>
              <w:rPr>
                <w:sz w:val="18"/>
              </w:rPr>
            </w:pPr>
            <w:r>
              <w:rPr>
                <w:spacing w:val="-5"/>
                <w:sz w:val="18"/>
              </w:rPr>
              <w:t>14</w:t>
            </w:r>
          </w:p>
        </w:tc>
        <w:tc>
          <w:tcPr>
            <w:tcW w:w="421" w:type="dxa"/>
            <w:tcBorders>
              <w:bottom w:val="single" w:sz="4" w:space="0" w:color="7E7E7E"/>
            </w:tcBorders>
          </w:tcPr>
          <w:p>
            <w:pPr>
              <w:pStyle w:val="TableParagraph"/>
              <w:spacing w:line="181" w:lineRule="exact"/>
              <w:ind w:left="68" w:right="49"/>
              <w:jc w:val="center"/>
              <w:rPr>
                <w:sz w:val="18"/>
              </w:rPr>
            </w:pPr>
            <w:r>
              <w:rPr>
                <w:spacing w:val="-5"/>
                <w:sz w:val="18"/>
              </w:rPr>
              <w:t>28</w:t>
            </w:r>
          </w:p>
        </w:tc>
        <w:tc>
          <w:tcPr>
            <w:tcW w:w="711" w:type="dxa"/>
            <w:tcBorders>
              <w:bottom w:val="single" w:sz="4" w:space="0" w:color="7E7E7E"/>
            </w:tcBorders>
          </w:tcPr>
          <w:p>
            <w:pPr>
              <w:pStyle w:val="TableParagraph"/>
              <w:spacing w:line="181" w:lineRule="exact"/>
              <w:ind w:left="109"/>
              <w:rPr>
                <w:b/>
                <w:sz w:val="18"/>
              </w:rPr>
            </w:pPr>
            <w:r>
              <w:rPr>
                <w:b/>
                <w:spacing w:val="-4"/>
                <w:sz w:val="18"/>
              </w:rPr>
              <w:t>100%</w:t>
            </w:r>
          </w:p>
        </w:tc>
      </w:tr>
    </w:tbl>
    <w:p>
      <w:pPr>
        <w:pStyle w:val="BodyText"/>
        <w:spacing w:before="10"/>
        <w:ind w:left="998" w:right="273" w:hanging="431"/>
      </w:pPr>
      <w:r>
        <w:rPr/>
        <w:t>Sumber: Data primer yang</w:t>
      </w:r>
      <w:r>
        <w:rPr>
          <w:spacing w:val="-1"/>
        </w:rPr>
        <w:t> </w:t>
      </w:r>
      <w:r>
        <w:rPr/>
        <w:t>telah</w:t>
      </w:r>
      <w:r>
        <w:rPr>
          <w:spacing w:val="-11"/>
        </w:rPr>
        <w:t> </w:t>
      </w:r>
      <w:r>
        <w:rPr/>
        <w:t>diolah</w:t>
      </w:r>
      <w:r>
        <w:rPr>
          <w:spacing w:val="-11"/>
        </w:rPr>
        <w:t> </w:t>
      </w:r>
      <w:r>
        <w:rPr/>
        <w:t>tahun</w:t>
      </w:r>
      <w:r>
        <w:rPr>
          <w:spacing w:val="-1"/>
        </w:rPr>
        <w:t> </w:t>
      </w:r>
      <w:r>
        <w:rPr/>
        <w:t>2026 Gambar</w:t>
      </w:r>
      <w:r>
        <w:rPr>
          <w:spacing w:val="6"/>
        </w:rPr>
        <w:t> </w:t>
      </w:r>
      <w:r>
        <w:rPr/>
        <w:t>1.2</w:t>
      </w:r>
      <w:r>
        <w:rPr>
          <w:spacing w:val="3"/>
        </w:rPr>
        <w:t> </w:t>
      </w:r>
      <w:r>
        <w:rPr/>
        <w:t>menunjukkan</w:t>
      </w:r>
      <w:r>
        <w:rPr>
          <w:spacing w:val="2"/>
        </w:rPr>
        <w:t> </w:t>
      </w:r>
      <w:r>
        <w:rPr/>
        <w:t>tingkat</w:t>
      </w:r>
      <w:r>
        <w:rPr>
          <w:spacing w:val="7"/>
        </w:rPr>
        <w:t> </w:t>
      </w:r>
      <w:r>
        <w:rPr>
          <w:spacing w:val="-2"/>
        </w:rPr>
        <w:t>pendidikan</w:t>
      </w:r>
    </w:p>
    <w:p>
      <w:pPr>
        <w:pStyle w:val="BodyText"/>
        <w:ind w:left="278" w:right="270"/>
      </w:pPr>
      <w:r>
        <w:rPr/>
        <w:t>terakhir yang dimiliki oleh responden penelitian. Berdasarkan Tabel 1.2, diketahui bahwa tingkat pendidikan responden terdiri atas beberapa jenjang pendidikan, yaitu mulai dari pendidikan dasar perguruan tinggi. Kelompok pendidikan yang paling dominan adalah tingkat SD</w:t>
      </w:r>
      <w:r>
        <w:rPr>
          <w:spacing w:val="-4"/>
        </w:rPr>
        <w:t> </w:t>
      </w:r>
      <w:r>
        <w:rPr/>
        <w:t>dan SMA, masing-masing sebanyak tujuh orang atau sebesar 35,7%. Sedangkan jumlah paling sedikit berada pada tingkat pendidikan perguruan tinggi sebanyak satu orang sebesar 3,6%.</w:t>
      </w:r>
    </w:p>
    <w:p>
      <w:pPr>
        <w:pStyle w:val="BodyText"/>
        <w:spacing w:before="2"/>
        <w:jc w:val="left"/>
      </w:pPr>
    </w:p>
    <w:p>
      <w:pPr>
        <w:pStyle w:val="Heading2"/>
        <w:numPr>
          <w:ilvl w:val="1"/>
          <w:numId w:val="1"/>
        </w:numPr>
        <w:tabs>
          <w:tab w:pos="327" w:val="left" w:leader="none"/>
        </w:tabs>
        <w:spacing w:line="240" w:lineRule="auto" w:before="0" w:after="0"/>
        <w:ind w:left="327" w:right="0" w:hanging="200"/>
        <w:jc w:val="left"/>
      </w:pPr>
      <w:r>
        <w:rPr/>
        <w:t>Jenis</w:t>
      </w:r>
      <w:r>
        <w:rPr>
          <w:spacing w:val="4"/>
        </w:rPr>
        <w:t> </w:t>
      </w:r>
      <w:r>
        <w:rPr>
          <w:spacing w:val="-2"/>
        </w:rPr>
        <w:t>Pekerjaan</w:t>
      </w:r>
    </w:p>
    <w:p>
      <w:pPr>
        <w:tabs>
          <w:tab w:pos="4641" w:val="left" w:leader="none"/>
        </w:tabs>
        <w:spacing w:before="0"/>
        <w:ind w:left="278" w:right="0" w:firstLine="0"/>
        <w:jc w:val="both"/>
        <w:rPr>
          <w:b/>
          <w:sz w:val="20"/>
        </w:rPr>
      </w:pPr>
      <w:r>
        <w:rPr>
          <w:b/>
          <w:spacing w:val="70"/>
          <w:w w:val="150"/>
          <w:sz w:val="20"/>
          <w:u w:val="single" w:color="7E7E7E"/>
        </w:rPr>
        <w:t>   </w:t>
      </w:r>
      <w:r>
        <w:rPr>
          <w:b/>
          <w:sz w:val="20"/>
          <w:u w:val="single" w:color="7E7E7E"/>
        </w:rPr>
        <w:t>Tabel</w:t>
      </w:r>
      <w:r>
        <w:rPr>
          <w:b/>
          <w:spacing w:val="6"/>
          <w:sz w:val="20"/>
          <w:u w:val="single" w:color="7E7E7E"/>
        </w:rPr>
        <w:t> </w:t>
      </w:r>
      <w:r>
        <w:rPr>
          <w:b/>
          <w:sz w:val="20"/>
          <w:u w:val="single" w:color="7E7E7E"/>
        </w:rPr>
        <w:t>1.3 Jenis</w:t>
      </w:r>
      <w:r>
        <w:rPr>
          <w:b/>
          <w:spacing w:val="1"/>
          <w:sz w:val="20"/>
          <w:u w:val="single" w:color="7E7E7E"/>
        </w:rPr>
        <w:t> </w:t>
      </w:r>
      <w:r>
        <w:rPr>
          <w:b/>
          <w:sz w:val="20"/>
          <w:u w:val="single" w:color="7E7E7E"/>
        </w:rPr>
        <w:t>Pekerjaan</w:t>
      </w:r>
      <w:r>
        <w:rPr>
          <w:b/>
          <w:spacing w:val="1"/>
          <w:sz w:val="20"/>
          <w:u w:val="single" w:color="7E7E7E"/>
        </w:rPr>
        <w:t> </w:t>
      </w:r>
      <w:r>
        <w:rPr>
          <w:b/>
          <w:spacing w:val="-2"/>
          <w:sz w:val="20"/>
          <w:u w:val="single" w:color="7E7E7E"/>
        </w:rPr>
        <w:t>Responden</w:t>
      </w:r>
      <w:r>
        <w:rPr>
          <w:b/>
          <w:sz w:val="20"/>
          <w:u w:val="single" w:color="7E7E7E"/>
        </w:rPr>
        <w:tab/>
      </w:r>
    </w:p>
    <w:tbl>
      <w:tblPr>
        <w:tblW w:w="0" w:type="auto"/>
        <w:jc w:val="left"/>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1"/>
        <w:gridCol w:w="865"/>
        <w:gridCol w:w="1125"/>
        <w:gridCol w:w="450"/>
        <w:gridCol w:w="800"/>
      </w:tblGrid>
      <w:tr>
        <w:trPr>
          <w:trHeight w:val="415" w:hRule="atLeast"/>
        </w:trPr>
        <w:tc>
          <w:tcPr>
            <w:tcW w:w="1131" w:type="dxa"/>
          </w:tcPr>
          <w:p>
            <w:pPr>
              <w:pStyle w:val="TableParagraph"/>
              <w:spacing w:line="199" w:lineRule="exact"/>
              <w:ind w:left="130"/>
              <w:rPr>
                <w:b/>
                <w:sz w:val="18"/>
              </w:rPr>
            </w:pPr>
            <w:r>
              <w:rPr>
                <w:b/>
                <w:spacing w:val="-2"/>
                <w:sz w:val="18"/>
              </w:rPr>
              <w:t>Pekerjaan</w:t>
            </w:r>
          </w:p>
        </w:tc>
        <w:tc>
          <w:tcPr>
            <w:tcW w:w="865" w:type="dxa"/>
          </w:tcPr>
          <w:p>
            <w:pPr>
              <w:pStyle w:val="TableParagraph"/>
              <w:spacing w:line="199" w:lineRule="exact"/>
              <w:ind w:left="6" w:right="1"/>
              <w:jc w:val="center"/>
              <w:rPr>
                <w:b/>
                <w:sz w:val="18"/>
              </w:rPr>
            </w:pPr>
            <w:r>
              <w:rPr>
                <w:b/>
                <w:spacing w:val="-2"/>
                <w:sz w:val="18"/>
              </w:rPr>
              <w:t>Genteng</w:t>
            </w:r>
          </w:p>
        </w:tc>
        <w:tc>
          <w:tcPr>
            <w:tcW w:w="1125" w:type="dxa"/>
          </w:tcPr>
          <w:p>
            <w:pPr>
              <w:pStyle w:val="TableParagraph"/>
              <w:spacing w:line="199" w:lineRule="exact"/>
              <w:ind w:left="106"/>
              <w:rPr>
                <w:b/>
                <w:sz w:val="18"/>
              </w:rPr>
            </w:pPr>
            <w:r>
              <w:rPr>
                <w:b/>
                <w:spacing w:val="-2"/>
                <w:sz w:val="18"/>
              </w:rPr>
              <w:t>Tanah</w:t>
            </w:r>
            <w:r>
              <w:rPr>
                <w:b/>
                <w:spacing w:val="-9"/>
                <w:sz w:val="18"/>
              </w:rPr>
              <w:t> </w:t>
            </w:r>
            <w:r>
              <w:rPr>
                <w:b/>
                <w:spacing w:val="-4"/>
                <w:sz w:val="18"/>
              </w:rPr>
              <w:t>Kali</w:t>
            </w:r>
          </w:p>
          <w:p>
            <w:pPr>
              <w:pStyle w:val="TableParagraph"/>
              <w:tabs>
                <w:tab w:pos="2377" w:val="left" w:leader="none"/>
              </w:tabs>
              <w:spacing w:line="192" w:lineRule="exact" w:before="3"/>
              <w:ind w:left="-1986" w:right="-1268"/>
              <w:rPr>
                <w:b/>
                <w:sz w:val="18"/>
              </w:rPr>
            </w:pPr>
            <w:r>
              <w:rPr>
                <w:spacing w:val="71"/>
                <w:w w:val="150"/>
                <w:sz w:val="18"/>
                <w:u w:val="single" w:color="7E7E7E"/>
              </w:rPr>
              <w:t>               </w:t>
            </w:r>
            <w:r>
              <w:rPr>
                <w:b/>
                <w:spacing w:val="-2"/>
                <w:sz w:val="18"/>
                <w:u w:val="single" w:color="7E7E7E"/>
              </w:rPr>
              <w:t>Kedinding</w:t>
            </w:r>
            <w:r>
              <w:rPr>
                <w:b/>
                <w:sz w:val="18"/>
                <w:u w:val="single" w:color="7E7E7E"/>
              </w:rPr>
              <w:tab/>
            </w:r>
          </w:p>
        </w:tc>
        <w:tc>
          <w:tcPr>
            <w:tcW w:w="450" w:type="dxa"/>
          </w:tcPr>
          <w:p>
            <w:pPr>
              <w:pStyle w:val="TableParagraph"/>
              <w:spacing w:line="199" w:lineRule="exact"/>
              <w:ind w:left="54" w:right="68"/>
              <w:jc w:val="center"/>
              <w:rPr>
                <w:b/>
                <w:sz w:val="18"/>
              </w:rPr>
            </w:pPr>
            <w:r>
              <w:rPr>
                <w:b/>
                <w:spacing w:val="-10"/>
                <w:sz w:val="18"/>
              </w:rPr>
              <w:t>F</w:t>
            </w:r>
          </w:p>
        </w:tc>
        <w:tc>
          <w:tcPr>
            <w:tcW w:w="800" w:type="dxa"/>
          </w:tcPr>
          <w:p>
            <w:pPr>
              <w:pStyle w:val="TableParagraph"/>
              <w:spacing w:line="199" w:lineRule="exact"/>
              <w:ind w:left="112"/>
              <w:rPr>
                <w:b/>
                <w:sz w:val="18"/>
              </w:rPr>
            </w:pPr>
            <w:r>
              <w:rPr>
                <w:b/>
                <w:spacing w:val="-5"/>
                <w:sz w:val="18"/>
              </w:rPr>
              <w:t>(%)</w:t>
            </w:r>
          </w:p>
        </w:tc>
      </w:tr>
      <w:tr>
        <w:trPr>
          <w:trHeight w:val="210" w:hRule="atLeast"/>
        </w:trPr>
        <w:tc>
          <w:tcPr>
            <w:tcW w:w="1131" w:type="dxa"/>
          </w:tcPr>
          <w:p>
            <w:pPr>
              <w:pStyle w:val="TableParagraph"/>
              <w:spacing w:line="190" w:lineRule="exact"/>
              <w:ind w:left="130"/>
              <w:rPr>
                <w:sz w:val="18"/>
              </w:rPr>
            </w:pPr>
            <w:r>
              <w:rPr>
                <w:spacing w:val="-2"/>
                <w:sz w:val="18"/>
              </w:rPr>
              <w:t>Wiraswasta</w:t>
            </w:r>
          </w:p>
        </w:tc>
        <w:tc>
          <w:tcPr>
            <w:tcW w:w="865" w:type="dxa"/>
          </w:tcPr>
          <w:p>
            <w:pPr>
              <w:pStyle w:val="TableParagraph"/>
              <w:spacing w:line="190" w:lineRule="exact"/>
              <w:ind w:left="6" w:right="1"/>
              <w:jc w:val="center"/>
              <w:rPr>
                <w:sz w:val="18"/>
              </w:rPr>
            </w:pPr>
            <w:r>
              <w:rPr>
                <w:spacing w:val="-10"/>
                <w:sz w:val="18"/>
              </w:rPr>
              <w:t>7</w:t>
            </w:r>
          </w:p>
        </w:tc>
        <w:tc>
          <w:tcPr>
            <w:tcW w:w="1125" w:type="dxa"/>
          </w:tcPr>
          <w:p>
            <w:pPr>
              <w:pStyle w:val="TableParagraph"/>
              <w:spacing w:line="190" w:lineRule="exact"/>
              <w:ind w:left="58"/>
              <w:jc w:val="center"/>
              <w:rPr>
                <w:sz w:val="18"/>
              </w:rPr>
            </w:pPr>
            <w:r>
              <w:rPr>
                <w:spacing w:val="-10"/>
                <w:sz w:val="18"/>
              </w:rPr>
              <w:t>9</w:t>
            </w:r>
          </w:p>
        </w:tc>
        <w:tc>
          <w:tcPr>
            <w:tcW w:w="450" w:type="dxa"/>
          </w:tcPr>
          <w:p>
            <w:pPr>
              <w:pStyle w:val="TableParagraph"/>
              <w:spacing w:line="190" w:lineRule="exact"/>
              <w:ind w:left="68" w:right="14"/>
              <w:jc w:val="center"/>
              <w:rPr>
                <w:sz w:val="18"/>
              </w:rPr>
            </w:pPr>
            <w:r>
              <w:rPr>
                <w:spacing w:val="-5"/>
                <w:sz w:val="18"/>
              </w:rPr>
              <w:t>16</w:t>
            </w:r>
          </w:p>
        </w:tc>
        <w:tc>
          <w:tcPr>
            <w:tcW w:w="800" w:type="dxa"/>
          </w:tcPr>
          <w:p>
            <w:pPr>
              <w:pStyle w:val="TableParagraph"/>
              <w:spacing w:line="190" w:lineRule="exact"/>
              <w:ind w:left="112"/>
              <w:rPr>
                <w:b/>
                <w:sz w:val="18"/>
              </w:rPr>
            </w:pPr>
            <w:r>
              <w:rPr>
                <w:b/>
                <w:spacing w:val="-2"/>
                <w:sz w:val="18"/>
              </w:rPr>
              <w:t>57,14%</w:t>
            </w:r>
          </w:p>
        </w:tc>
      </w:tr>
      <w:tr>
        <w:trPr>
          <w:trHeight w:val="210" w:hRule="atLeast"/>
        </w:trPr>
        <w:tc>
          <w:tcPr>
            <w:tcW w:w="1131" w:type="dxa"/>
          </w:tcPr>
          <w:p>
            <w:pPr>
              <w:pStyle w:val="TableParagraph"/>
              <w:spacing w:line="190" w:lineRule="exact"/>
              <w:ind w:left="130"/>
              <w:rPr>
                <w:sz w:val="18"/>
              </w:rPr>
            </w:pPr>
            <w:r>
              <w:rPr>
                <w:spacing w:val="-2"/>
                <w:sz w:val="18"/>
              </w:rPr>
              <w:t>Buruh</w:t>
            </w:r>
          </w:p>
        </w:tc>
        <w:tc>
          <w:tcPr>
            <w:tcW w:w="865" w:type="dxa"/>
          </w:tcPr>
          <w:p>
            <w:pPr>
              <w:pStyle w:val="TableParagraph"/>
              <w:spacing w:line="190" w:lineRule="exact"/>
              <w:ind w:left="6" w:right="1"/>
              <w:jc w:val="center"/>
              <w:rPr>
                <w:sz w:val="18"/>
              </w:rPr>
            </w:pPr>
            <w:r>
              <w:rPr>
                <w:spacing w:val="-10"/>
                <w:sz w:val="18"/>
              </w:rPr>
              <w:t>2</w:t>
            </w:r>
          </w:p>
        </w:tc>
        <w:tc>
          <w:tcPr>
            <w:tcW w:w="1125" w:type="dxa"/>
          </w:tcPr>
          <w:p>
            <w:pPr>
              <w:pStyle w:val="TableParagraph"/>
              <w:spacing w:line="190" w:lineRule="exact"/>
              <w:ind w:left="58"/>
              <w:jc w:val="center"/>
              <w:rPr>
                <w:sz w:val="18"/>
              </w:rPr>
            </w:pPr>
            <w:r>
              <w:rPr>
                <w:spacing w:val="-10"/>
                <w:sz w:val="18"/>
              </w:rPr>
              <w:t>0</w:t>
            </w:r>
          </w:p>
        </w:tc>
        <w:tc>
          <w:tcPr>
            <w:tcW w:w="450" w:type="dxa"/>
          </w:tcPr>
          <w:p>
            <w:pPr>
              <w:pStyle w:val="TableParagraph"/>
              <w:spacing w:line="190" w:lineRule="exact"/>
              <w:ind w:left="58" w:right="14"/>
              <w:jc w:val="center"/>
              <w:rPr>
                <w:sz w:val="18"/>
              </w:rPr>
            </w:pPr>
            <w:r>
              <w:rPr>
                <w:spacing w:val="-10"/>
                <w:sz w:val="18"/>
              </w:rPr>
              <w:t>2</w:t>
            </w:r>
          </w:p>
        </w:tc>
        <w:tc>
          <w:tcPr>
            <w:tcW w:w="800" w:type="dxa"/>
          </w:tcPr>
          <w:p>
            <w:pPr>
              <w:pStyle w:val="TableParagraph"/>
              <w:spacing w:line="190" w:lineRule="exact"/>
              <w:ind w:left="112"/>
              <w:rPr>
                <w:b/>
                <w:sz w:val="18"/>
              </w:rPr>
            </w:pPr>
            <w:r>
              <w:rPr>
                <w:b/>
                <w:spacing w:val="-4"/>
                <w:sz w:val="18"/>
              </w:rPr>
              <w:t>7,14%</w:t>
            </w:r>
          </w:p>
        </w:tc>
      </w:tr>
      <w:tr>
        <w:trPr>
          <w:trHeight w:val="205" w:hRule="atLeast"/>
        </w:trPr>
        <w:tc>
          <w:tcPr>
            <w:tcW w:w="1131" w:type="dxa"/>
          </w:tcPr>
          <w:p>
            <w:pPr>
              <w:pStyle w:val="TableParagraph"/>
              <w:spacing w:line="185" w:lineRule="exact"/>
              <w:ind w:left="130"/>
              <w:rPr>
                <w:sz w:val="18"/>
              </w:rPr>
            </w:pPr>
            <w:r>
              <w:rPr>
                <w:spacing w:val="-5"/>
                <w:sz w:val="18"/>
              </w:rPr>
              <w:t>IRT</w:t>
            </w:r>
          </w:p>
        </w:tc>
        <w:tc>
          <w:tcPr>
            <w:tcW w:w="865" w:type="dxa"/>
          </w:tcPr>
          <w:p>
            <w:pPr>
              <w:pStyle w:val="TableParagraph"/>
              <w:spacing w:line="185" w:lineRule="exact"/>
              <w:ind w:left="6" w:right="1"/>
              <w:jc w:val="center"/>
              <w:rPr>
                <w:sz w:val="18"/>
              </w:rPr>
            </w:pPr>
            <w:r>
              <w:rPr>
                <w:spacing w:val="-10"/>
                <w:sz w:val="18"/>
              </w:rPr>
              <w:t>3</w:t>
            </w:r>
          </w:p>
        </w:tc>
        <w:tc>
          <w:tcPr>
            <w:tcW w:w="1125" w:type="dxa"/>
          </w:tcPr>
          <w:p>
            <w:pPr>
              <w:pStyle w:val="TableParagraph"/>
              <w:spacing w:line="185" w:lineRule="exact"/>
              <w:ind w:left="58"/>
              <w:jc w:val="center"/>
              <w:rPr>
                <w:sz w:val="18"/>
              </w:rPr>
            </w:pPr>
            <w:r>
              <w:rPr>
                <w:spacing w:val="-10"/>
                <w:sz w:val="18"/>
              </w:rPr>
              <w:t>1</w:t>
            </w:r>
          </w:p>
        </w:tc>
        <w:tc>
          <w:tcPr>
            <w:tcW w:w="450" w:type="dxa"/>
          </w:tcPr>
          <w:p>
            <w:pPr>
              <w:pStyle w:val="TableParagraph"/>
              <w:spacing w:line="185" w:lineRule="exact"/>
              <w:ind w:left="58" w:right="14"/>
              <w:jc w:val="center"/>
              <w:rPr>
                <w:sz w:val="18"/>
              </w:rPr>
            </w:pPr>
            <w:r>
              <w:rPr>
                <w:spacing w:val="-10"/>
                <w:sz w:val="18"/>
              </w:rPr>
              <w:t>4</w:t>
            </w:r>
          </w:p>
        </w:tc>
        <w:tc>
          <w:tcPr>
            <w:tcW w:w="800" w:type="dxa"/>
          </w:tcPr>
          <w:p>
            <w:pPr>
              <w:pStyle w:val="TableParagraph"/>
              <w:spacing w:line="185" w:lineRule="exact"/>
              <w:ind w:left="112"/>
              <w:rPr>
                <w:b/>
                <w:sz w:val="18"/>
              </w:rPr>
            </w:pPr>
            <w:r>
              <w:rPr>
                <w:b/>
                <w:spacing w:val="-2"/>
                <w:sz w:val="18"/>
              </w:rPr>
              <w:t>14,29%</w:t>
            </w:r>
          </w:p>
        </w:tc>
      </w:tr>
      <w:tr>
        <w:trPr>
          <w:trHeight w:val="415" w:hRule="atLeast"/>
        </w:trPr>
        <w:tc>
          <w:tcPr>
            <w:tcW w:w="1131" w:type="dxa"/>
          </w:tcPr>
          <w:p>
            <w:pPr>
              <w:pStyle w:val="TableParagraph"/>
              <w:spacing w:line="200" w:lineRule="exact"/>
              <w:ind w:left="130"/>
              <w:rPr>
                <w:sz w:val="18"/>
              </w:rPr>
            </w:pPr>
            <w:r>
              <w:rPr>
                <w:spacing w:val="-2"/>
                <w:sz w:val="18"/>
              </w:rPr>
              <w:t>Jasa/</w:t>
            </w:r>
          </w:p>
          <w:p>
            <w:pPr>
              <w:pStyle w:val="TableParagraph"/>
              <w:spacing w:line="192" w:lineRule="exact" w:before="3"/>
              <w:ind w:left="130"/>
              <w:rPr>
                <w:sz w:val="18"/>
              </w:rPr>
            </w:pPr>
            <w:r>
              <w:rPr>
                <w:spacing w:val="-2"/>
                <w:sz w:val="18"/>
              </w:rPr>
              <w:t>Transportasi</w:t>
            </w:r>
          </w:p>
        </w:tc>
        <w:tc>
          <w:tcPr>
            <w:tcW w:w="865" w:type="dxa"/>
          </w:tcPr>
          <w:p>
            <w:pPr>
              <w:pStyle w:val="TableParagraph"/>
              <w:spacing w:line="240" w:lineRule="auto" w:before="103"/>
              <w:ind w:left="6" w:right="1"/>
              <w:jc w:val="center"/>
              <w:rPr>
                <w:sz w:val="18"/>
              </w:rPr>
            </w:pPr>
            <w:r>
              <w:rPr>
                <w:spacing w:val="-10"/>
                <w:sz w:val="18"/>
              </w:rPr>
              <w:t>1</w:t>
            </w:r>
          </w:p>
        </w:tc>
        <w:tc>
          <w:tcPr>
            <w:tcW w:w="1125" w:type="dxa"/>
          </w:tcPr>
          <w:p>
            <w:pPr>
              <w:pStyle w:val="TableParagraph"/>
              <w:spacing w:line="240" w:lineRule="auto" w:before="103"/>
              <w:ind w:left="58"/>
              <w:jc w:val="center"/>
              <w:rPr>
                <w:sz w:val="18"/>
              </w:rPr>
            </w:pPr>
            <w:r>
              <w:rPr>
                <w:spacing w:val="-10"/>
                <w:sz w:val="18"/>
              </w:rPr>
              <w:t>1</w:t>
            </w:r>
          </w:p>
        </w:tc>
        <w:tc>
          <w:tcPr>
            <w:tcW w:w="450" w:type="dxa"/>
          </w:tcPr>
          <w:p>
            <w:pPr>
              <w:pStyle w:val="TableParagraph"/>
              <w:spacing w:line="240" w:lineRule="auto" w:before="103"/>
              <w:ind w:left="58" w:right="14"/>
              <w:jc w:val="center"/>
              <w:rPr>
                <w:sz w:val="18"/>
              </w:rPr>
            </w:pPr>
            <w:r>
              <w:rPr>
                <w:spacing w:val="-10"/>
                <w:sz w:val="18"/>
              </w:rPr>
              <w:t>2</w:t>
            </w:r>
          </w:p>
        </w:tc>
        <w:tc>
          <w:tcPr>
            <w:tcW w:w="800" w:type="dxa"/>
          </w:tcPr>
          <w:p>
            <w:pPr>
              <w:pStyle w:val="TableParagraph"/>
              <w:spacing w:line="200" w:lineRule="exact"/>
              <w:ind w:left="112"/>
              <w:rPr>
                <w:b/>
                <w:sz w:val="18"/>
              </w:rPr>
            </w:pPr>
            <w:r>
              <w:rPr>
                <w:b/>
                <w:spacing w:val="-4"/>
                <w:sz w:val="18"/>
              </w:rPr>
              <w:t>7,14%</w:t>
            </w:r>
          </w:p>
        </w:tc>
      </w:tr>
      <w:tr>
        <w:trPr>
          <w:trHeight w:val="210" w:hRule="atLeast"/>
        </w:trPr>
        <w:tc>
          <w:tcPr>
            <w:tcW w:w="1131" w:type="dxa"/>
          </w:tcPr>
          <w:p>
            <w:pPr>
              <w:pStyle w:val="TableParagraph"/>
              <w:spacing w:line="190" w:lineRule="exact"/>
              <w:ind w:left="130"/>
              <w:rPr>
                <w:sz w:val="18"/>
              </w:rPr>
            </w:pPr>
            <w:r>
              <w:rPr>
                <w:spacing w:val="-2"/>
                <w:sz w:val="18"/>
              </w:rPr>
              <w:t>Tukang</w:t>
            </w:r>
          </w:p>
        </w:tc>
        <w:tc>
          <w:tcPr>
            <w:tcW w:w="865" w:type="dxa"/>
          </w:tcPr>
          <w:p>
            <w:pPr>
              <w:pStyle w:val="TableParagraph"/>
              <w:spacing w:line="190" w:lineRule="exact"/>
              <w:ind w:left="6" w:right="1"/>
              <w:jc w:val="center"/>
              <w:rPr>
                <w:sz w:val="18"/>
              </w:rPr>
            </w:pPr>
            <w:r>
              <w:rPr>
                <w:spacing w:val="-10"/>
                <w:sz w:val="18"/>
              </w:rPr>
              <w:t>1</w:t>
            </w:r>
          </w:p>
        </w:tc>
        <w:tc>
          <w:tcPr>
            <w:tcW w:w="1125" w:type="dxa"/>
          </w:tcPr>
          <w:p>
            <w:pPr>
              <w:pStyle w:val="TableParagraph"/>
              <w:spacing w:line="190" w:lineRule="exact"/>
              <w:ind w:left="58"/>
              <w:jc w:val="center"/>
              <w:rPr>
                <w:sz w:val="18"/>
              </w:rPr>
            </w:pPr>
            <w:r>
              <w:rPr>
                <w:spacing w:val="-10"/>
                <w:sz w:val="18"/>
              </w:rPr>
              <w:t>2</w:t>
            </w:r>
          </w:p>
        </w:tc>
        <w:tc>
          <w:tcPr>
            <w:tcW w:w="450" w:type="dxa"/>
          </w:tcPr>
          <w:p>
            <w:pPr>
              <w:pStyle w:val="TableParagraph"/>
              <w:spacing w:line="190" w:lineRule="exact"/>
              <w:ind w:left="58" w:right="14"/>
              <w:jc w:val="center"/>
              <w:rPr>
                <w:sz w:val="18"/>
              </w:rPr>
            </w:pPr>
            <w:r>
              <w:rPr>
                <w:spacing w:val="-10"/>
                <w:sz w:val="18"/>
              </w:rPr>
              <w:t>3</w:t>
            </w:r>
          </w:p>
        </w:tc>
        <w:tc>
          <w:tcPr>
            <w:tcW w:w="800" w:type="dxa"/>
          </w:tcPr>
          <w:p>
            <w:pPr>
              <w:pStyle w:val="TableParagraph"/>
              <w:spacing w:line="190" w:lineRule="exact"/>
              <w:ind w:left="112"/>
              <w:rPr>
                <w:b/>
                <w:sz w:val="18"/>
              </w:rPr>
            </w:pPr>
            <w:r>
              <w:rPr>
                <w:b/>
                <w:spacing w:val="-2"/>
                <w:sz w:val="18"/>
              </w:rPr>
              <w:t>10,71%</w:t>
            </w:r>
          </w:p>
        </w:tc>
      </w:tr>
      <w:tr>
        <w:trPr>
          <w:trHeight w:val="410" w:hRule="atLeast"/>
        </w:trPr>
        <w:tc>
          <w:tcPr>
            <w:tcW w:w="1131" w:type="dxa"/>
          </w:tcPr>
          <w:p>
            <w:pPr>
              <w:pStyle w:val="TableParagraph"/>
              <w:spacing w:line="200" w:lineRule="exact"/>
              <w:ind w:left="130" w:right="465"/>
              <w:rPr>
                <w:sz w:val="18"/>
              </w:rPr>
            </w:pPr>
            <w:r>
              <w:rPr>
                <w:spacing w:val="-2"/>
                <w:sz w:val="18"/>
              </w:rPr>
              <w:t>Tidak bekerja</w:t>
            </w:r>
          </w:p>
        </w:tc>
        <w:tc>
          <w:tcPr>
            <w:tcW w:w="865" w:type="dxa"/>
          </w:tcPr>
          <w:p>
            <w:pPr>
              <w:pStyle w:val="TableParagraph"/>
              <w:spacing w:line="240" w:lineRule="auto" w:before="98"/>
              <w:ind w:left="6" w:right="1"/>
              <w:jc w:val="center"/>
              <w:rPr>
                <w:sz w:val="18"/>
              </w:rPr>
            </w:pPr>
            <w:r>
              <w:rPr>
                <w:spacing w:val="-10"/>
                <w:sz w:val="18"/>
              </w:rPr>
              <w:t>0</w:t>
            </w:r>
          </w:p>
        </w:tc>
        <w:tc>
          <w:tcPr>
            <w:tcW w:w="1125" w:type="dxa"/>
          </w:tcPr>
          <w:p>
            <w:pPr>
              <w:pStyle w:val="TableParagraph"/>
              <w:spacing w:line="240" w:lineRule="auto" w:before="98"/>
              <w:ind w:left="58"/>
              <w:jc w:val="center"/>
              <w:rPr>
                <w:sz w:val="18"/>
              </w:rPr>
            </w:pPr>
            <w:r>
              <w:rPr>
                <w:spacing w:val="-10"/>
                <w:sz w:val="18"/>
              </w:rPr>
              <w:t>1</w:t>
            </w:r>
          </w:p>
        </w:tc>
        <w:tc>
          <w:tcPr>
            <w:tcW w:w="450" w:type="dxa"/>
          </w:tcPr>
          <w:p>
            <w:pPr>
              <w:pStyle w:val="TableParagraph"/>
              <w:spacing w:line="240" w:lineRule="auto" w:before="98"/>
              <w:ind w:left="58" w:right="14"/>
              <w:jc w:val="center"/>
              <w:rPr>
                <w:sz w:val="18"/>
              </w:rPr>
            </w:pPr>
            <w:r>
              <w:rPr>
                <w:spacing w:val="-10"/>
                <w:sz w:val="18"/>
              </w:rPr>
              <w:t>1</w:t>
            </w:r>
          </w:p>
        </w:tc>
        <w:tc>
          <w:tcPr>
            <w:tcW w:w="800" w:type="dxa"/>
          </w:tcPr>
          <w:p>
            <w:pPr>
              <w:pStyle w:val="TableParagraph"/>
              <w:spacing w:line="205" w:lineRule="exact"/>
              <w:ind w:left="112"/>
              <w:rPr>
                <w:b/>
                <w:sz w:val="18"/>
              </w:rPr>
            </w:pPr>
            <w:r>
              <w:rPr>
                <w:b/>
                <w:spacing w:val="-4"/>
                <w:sz w:val="18"/>
              </w:rPr>
              <w:t>3,57%</w:t>
            </w:r>
          </w:p>
        </w:tc>
      </w:tr>
      <w:tr>
        <w:trPr>
          <w:trHeight w:val="205" w:hRule="atLeast"/>
        </w:trPr>
        <w:tc>
          <w:tcPr>
            <w:tcW w:w="1131" w:type="dxa"/>
            <w:tcBorders>
              <w:bottom w:val="single" w:sz="4" w:space="0" w:color="7E7E7E"/>
            </w:tcBorders>
          </w:tcPr>
          <w:p>
            <w:pPr>
              <w:pStyle w:val="TableParagraph"/>
              <w:spacing w:line="186" w:lineRule="exact"/>
              <w:ind w:left="130"/>
              <w:rPr>
                <w:sz w:val="18"/>
              </w:rPr>
            </w:pPr>
            <w:r>
              <w:rPr>
                <w:spacing w:val="-2"/>
                <w:sz w:val="18"/>
              </w:rPr>
              <w:t>Jumlah</w:t>
            </w:r>
          </w:p>
        </w:tc>
        <w:tc>
          <w:tcPr>
            <w:tcW w:w="865" w:type="dxa"/>
            <w:tcBorders>
              <w:bottom w:val="single" w:sz="4" w:space="0" w:color="7E7E7E"/>
            </w:tcBorders>
          </w:tcPr>
          <w:p>
            <w:pPr>
              <w:pStyle w:val="TableParagraph"/>
              <w:spacing w:line="186" w:lineRule="exact"/>
              <w:ind w:left="5" w:right="6"/>
              <w:jc w:val="center"/>
              <w:rPr>
                <w:sz w:val="18"/>
              </w:rPr>
            </w:pPr>
            <w:r>
              <w:rPr>
                <w:spacing w:val="-5"/>
                <w:sz w:val="18"/>
              </w:rPr>
              <w:t>14</w:t>
            </w:r>
          </w:p>
        </w:tc>
        <w:tc>
          <w:tcPr>
            <w:tcW w:w="1125" w:type="dxa"/>
            <w:tcBorders>
              <w:bottom w:val="single" w:sz="4" w:space="0" w:color="7E7E7E"/>
            </w:tcBorders>
          </w:tcPr>
          <w:p>
            <w:pPr>
              <w:pStyle w:val="TableParagraph"/>
              <w:spacing w:line="186" w:lineRule="exact"/>
              <w:ind w:left="58" w:right="10"/>
              <w:jc w:val="center"/>
              <w:rPr>
                <w:sz w:val="18"/>
              </w:rPr>
            </w:pPr>
            <w:r>
              <w:rPr>
                <w:spacing w:val="-5"/>
                <w:sz w:val="18"/>
              </w:rPr>
              <w:t>14</w:t>
            </w:r>
          </w:p>
        </w:tc>
        <w:tc>
          <w:tcPr>
            <w:tcW w:w="450" w:type="dxa"/>
            <w:tcBorders>
              <w:bottom w:val="single" w:sz="4" w:space="0" w:color="7E7E7E"/>
            </w:tcBorders>
          </w:tcPr>
          <w:p>
            <w:pPr>
              <w:pStyle w:val="TableParagraph"/>
              <w:spacing w:line="186" w:lineRule="exact"/>
              <w:ind w:left="68" w:right="14"/>
              <w:jc w:val="center"/>
              <w:rPr>
                <w:sz w:val="18"/>
              </w:rPr>
            </w:pPr>
            <w:r>
              <w:rPr>
                <w:spacing w:val="-5"/>
                <w:sz w:val="18"/>
              </w:rPr>
              <w:t>28</w:t>
            </w:r>
          </w:p>
        </w:tc>
        <w:tc>
          <w:tcPr>
            <w:tcW w:w="800" w:type="dxa"/>
            <w:tcBorders>
              <w:bottom w:val="single" w:sz="4" w:space="0" w:color="7E7E7E"/>
            </w:tcBorders>
          </w:tcPr>
          <w:p>
            <w:pPr>
              <w:pStyle w:val="TableParagraph"/>
              <w:spacing w:line="186" w:lineRule="exact"/>
              <w:ind w:left="112"/>
              <w:rPr>
                <w:b/>
                <w:sz w:val="18"/>
              </w:rPr>
            </w:pPr>
            <w:r>
              <w:rPr>
                <w:b/>
                <w:spacing w:val="-4"/>
                <w:sz w:val="18"/>
              </w:rPr>
              <w:t>100%</w:t>
            </w:r>
          </w:p>
        </w:tc>
      </w:tr>
    </w:tbl>
    <w:p>
      <w:pPr>
        <w:pStyle w:val="BodyText"/>
        <w:spacing w:before="22"/>
        <w:ind w:left="1048" w:right="273" w:hanging="571"/>
      </w:pPr>
      <w:r>
        <w:rPr/>
        <w:t>Sumber: Data primer yang telah diolah tahun 2026 Tabel</w:t>
      </w:r>
      <w:r>
        <w:rPr>
          <w:spacing w:val="7"/>
        </w:rPr>
        <w:t> </w:t>
      </w:r>
      <w:r>
        <w:rPr/>
        <w:t>1.3</w:t>
      </w:r>
      <w:r>
        <w:rPr>
          <w:spacing w:val="1"/>
        </w:rPr>
        <w:t> </w:t>
      </w:r>
      <w:r>
        <w:rPr/>
        <w:t>menunjukkan</w:t>
      </w:r>
      <w:r>
        <w:rPr>
          <w:spacing w:val="-8"/>
        </w:rPr>
        <w:t> </w:t>
      </w:r>
      <w:r>
        <w:rPr/>
        <w:t>jenis</w:t>
      </w:r>
      <w:r>
        <w:rPr>
          <w:spacing w:val="3"/>
        </w:rPr>
        <w:t> </w:t>
      </w:r>
      <w:r>
        <w:rPr/>
        <w:t>pekerjaan</w:t>
      </w:r>
      <w:r>
        <w:rPr>
          <w:spacing w:val="2"/>
        </w:rPr>
        <w:t> </w:t>
      </w:r>
      <w:r>
        <w:rPr>
          <w:spacing w:val="-4"/>
        </w:rPr>
        <w:t>yang</w:t>
      </w:r>
    </w:p>
    <w:p>
      <w:pPr>
        <w:pStyle w:val="BodyText"/>
        <w:ind w:left="328" w:right="276"/>
      </w:pPr>
      <w:r>
        <w:rPr/>
        <w:t>dimiliki</w:t>
      </w:r>
      <w:r>
        <w:rPr>
          <w:spacing w:val="-13"/>
        </w:rPr>
        <w:t> </w:t>
      </w:r>
      <w:r>
        <w:rPr/>
        <w:t>oleh</w:t>
      </w:r>
      <w:r>
        <w:rPr>
          <w:spacing w:val="-12"/>
        </w:rPr>
        <w:t> </w:t>
      </w:r>
      <w:r>
        <w:rPr/>
        <w:t>responden</w:t>
      </w:r>
      <w:r>
        <w:rPr>
          <w:spacing w:val="-13"/>
        </w:rPr>
        <w:t> </w:t>
      </w:r>
      <w:r>
        <w:rPr/>
        <w:t>penelitian.</w:t>
      </w:r>
      <w:r>
        <w:rPr>
          <w:spacing w:val="-12"/>
        </w:rPr>
        <w:t> </w:t>
      </w:r>
      <w:r>
        <w:rPr/>
        <w:t>Berdasarkan</w:t>
      </w:r>
      <w:r>
        <w:rPr>
          <w:spacing w:val="-13"/>
        </w:rPr>
        <w:t> </w:t>
      </w:r>
      <w:r>
        <w:rPr/>
        <w:t>Tabel 1.3, diketahui bahwa responden memiliki jenis pekerjaan yang beragam, yakni wiraswasta, buruh/karyawan, ibu rumah tangga, jasa/transportasi, tukang,</w:t>
      </w:r>
      <w:r>
        <w:rPr>
          <w:spacing w:val="-9"/>
        </w:rPr>
        <w:t> </w:t>
      </w:r>
      <w:r>
        <w:rPr/>
        <w:t>dan</w:t>
      </w:r>
      <w:r>
        <w:rPr>
          <w:spacing w:val="-13"/>
        </w:rPr>
        <w:t> </w:t>
      </w:r>
      <w:r>
        <w:rPr/>
        <w:t>tidak</w:t>
      </w:r>
      <w:r>
        <w:rPr>
          <w:spacing w:val="-5"/>
        </w:rPr>
        <w:t> </w:t>
      </w:r>
      <w:r>
        <w:rPr/>
        <w:t>bekerja.</w:t>
      </w:r>
      <w:r>
        <w:rPr>
          <w:spacing w:val="-13"/>
        </w:rPr>
        <w:t> </w:t>
      </w:r>
      <w:r>
        <w:rPr/>
        <w:t>Jenis</w:t>
      </w:r>
      <w:r>
        <w:rPr>
          <w:spacing w:val="-4"/>
        </w:rPr>
        <w:t> </w:t>
      </w:r>
      <w:r>
        <w:rPr/>
        <w:t>pekerjaan</w:t>
      </w:r>
      <w:r>
        <w:rPr>
          <w:spacing w:val="-13"/>
        </w:rPr>
        <w:t> </w:t>
      </w:r>
      <w:r>
        <w:rPr/>
        <w:t>yang</w:t>
      </w:r>
      <w:r>
        <w:rPr>
          <w:spacing w:val="-5"/>
        </w:rPr>
        <w:t> </w:t>
      </w:r>
      <w:r>
        <w:rPr/>
        <w:t>paling banyak ditemukan yaitu wiraswasta sebanyak sembilan orang pada Kelurahan Tanah Kali </w:t>
      </w:r>
      <w:r>
        <w:rPr>
          <w:spacing w:val="-2"/>
        </w:rPr>
        <w:t>Kedinding.</w:t>
      </w:r>
    </w:p>
    <w:p>
      <w:pPr>
        <w:pStyle w:val="BodyText"/>
        <w:spacing w:before="1"/>
        <w:jc w:val="left"/>
      </w:pPr>
    </w:p>
    <w:p>
      <w:pPr>
        <w:pStyle w:val="Heading2"/>
        <w:numPr>
          <w:ilvl w:val="1"/>
          <w:numId w:val="1"/>
        </w:numPr>
        <w:tabs>
          <w:tab w:pos="326" w:val="left" w:leader="none"/>
        </w:tabs>
        <w:spacing w:line="240" w:lineRule="auto" w:before="0" w:after="0"/>
        <w:ind w:left="326" w:right="0" w:hanging="199"/>
        <w:jc w:val="left"/>
      </w:pPr>
      <w:r>
        <w:rPr/>
        <w:t>Lama</w:t>
      </w:r>
      <w:r>
        <w:rPr>
          <w:spacing w:val="1"/>
        </w:rPr>
        <w:t> </w:t>
      </w:r>
      <w:r>
        <w:rPr/>
        <w:t>Menempati</w:t>
      </w:r>
      <w:r>
        <w:rPr>
          <w:spacing w:val="7"/>
        </w:rPr>
        <w:t> </w:t>
      </w:r>
      <w:r>
        <w:rPr>
          <w:spacing w:val="-4"/>
        </w:rPr>
        <w:t>Rumah</w:t>
      </w:r>
    </w:p>
    <w:p>
      <w:pPr>
        <w:pStyle w:val="Heading2"/>
        <w:spacing w:before="1"/>
        <w:ind w:left="278"/>
        <w:jc w:val="both"/>
      </w:pPr>
      <w:r>
        <w:rPr/>
        <mc:AlternateContent>
          <mc:Choice Requires="wps">
            <w:drawing>
              <wp:anchor distT="0" distB="0" distL="0" distR="0" allowOverlap="1" layoutInCell="1" locked="0" behindDoc="0" simplePos="0" relativeHeight="15730688">
                <wp:simplePos x="0" y="0"/>
                <wp:positionH relativeFrom="page">
                  <wp:posOffset>4080255</wp:posOffset>
                </wp:positionH>
                <wp:positionV relativeFrom="paragraph">
                  <wp:posOffset>155784</wp:posOffset>
                </wp:positionV>
                <wp:extent cx="2734310" cy="152082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734310" cy="15208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5"/>
                              <w:gridCol w:w="700"/>
                              <w:gridCol w:w="860"/>
                              <w:gridCol w:w="1002"/>
                              <w:gridCol w:w="715"/>
                            </w:tblGrid>
                            <w:tr>
                              <w:trPr>
                                <w:trHeight w:val="553" w:hRule="atLeast"/>
                              </w:trPr>
                              <w:tc>
                                <w:tcPr>
                                  <w:tcW w:w="905" w:type="dxa"/>
                                </w:tcPr>
                                <w:p>
                                  <w:pPr>
                                    <w:pStyle w:val="TableParagraph"/>
                                    <w:spacing w:line="177" w:lineRule="exact"/>
                                    <w:rPr>
                                      <w:b/>
                                      <w:sz w:val="16"/>
                                    </w:rPr>
                                  </w:pPr>
                                  <w:r>
                                    <w:rPr>
                                      <w:b/>
                                      <w:spacing w:val="-2"/>
                                      <w:sz w:val="16"/>
                                    </w:rPr>
                                    <w:t>Tahun</w:t>
                                  </w:r>
                                </w:p>
                              </w:tc>
                              <w:tc>
                                <w:tcPr>
                                  <w:tcW w:w="700" w:type="dxa"/>
                                </w:tcPr>
                                <w:p>
                                  <w:pPr>
                                    <w:pStyle w:val="TableParagraph"/>
                                    <w:spacing w:line="235" w:lineRule="auto"/>
                                    <w:ind w:left="135" w:right="69"/>
                                    <w:rPr>
                                      <w:b/>
                                      <w:sz w:val="16"/>
                                    </w:rPr>
                                  </w:pPr>
                                  <w:r>
                                    <w:rPr>
                                      <w:b/>
                                      <w:spacing w:val="-4"/>
                                      <w:sz w:val="16"/>
                                    </w:rPr>
                                    <w:t>Interv</w:t>
                                  </w:r>
                                  <w:r>
                                    <w:rPr>
                                      <w:b/>
                                      <w:spacing w:val="40"/>
                                      <w:sz w:val="16"/>
                                    </w:rPr>
                                    <w:t> </w:t>
                                  </w:r>
                                  <w:r>
                                    <w:rPr>
                                      <w:b/>
                                      <w:spacing w:val="-6"/>
                                      <w:sz w:val="16"/>
                                    </w:rPr>
                                    <w:t>al</w:t>
                                  </w:r>
                                </w:p>
                                <w:p>
                                  <w:pPr>
                                    <w:pStyle w:val="TableParagraph"/>
                                    <w:tabs>
                                      <w:tab w:pos="3388" w:val="left" w:leader="none"/>
                                    </w:tabs>
                                    <w:spacing w:line="170" w:lineRule="exact" w:before="2"/>
                                    <w:ind w:left="-976" w:right="-2693"/>
                                    <w:rPr>
                                      <w:b/>
                                      <w:sz w:val="16"/>
                                    </w:rPr>
                                  </w:pPr>
                                  <w:r>
                                    <w:rPr>
                                      <w:b/>
                                      <w:spacing w:val="78"/>
                                      <w:w w:val="150"/>
                                      <w:sz w:val="16"/>
                                      <w:u w:val="single" w:color="7E7E7E"/>
                                    </w:rPr>
                                    <w:t>        </w:t>
                                  </w:r>
                                  <w:r>
                                    <w:rPr>
                                      <w:b/>
                                      <w:spacing w:val="-2"/>
                                      <w:sz w:val="16"/>
                                      <w:u w:val="single" w:color="7E7E7E"/>
                                    </w:rPr>
                                    <w:t>tahun</w:t>
                                  </w:r>
                                  <w:r>
                                    <w:rPr>
                                      <w:b/>
                                      <w:sz w:val="16"/>
                                      <w:u w:val="single" w:color="7E7E7E"/>
                                    </w:rPr>
                                    <w:tab/>
                                  </w:r>
                                </w:p>
                              </w:tc>
                              <w:tc>
                                <w:tcPr>
                                  <w:tcW w:w="860" w:type="dxa"/>
                                </w:tcPr>
                                <w:p>
                                  <w:pPr>
                                    <w:pStyle w:val="TableParagraph"/>
                                    <w:spacing w:line="177" w:lineRule="exact"/>
                                    <w:ind w:left="146"/>
                                    <w:rPr>
                                      <w:b/>
                                      <w:sz w:val="16"/>
                                    </w:rPr>
                                  </w:pPr>
                                  <w:r>
                                    <w:rPr>
                                      <w:b/>
                                      <w:spacing w:val="-2"/>
                                      <w:sz w:val="16"/>
                                    </w:rPr>
                                    <w:t>Genteng</w:t>
                                  </w:r>
                                </w:p>
                              </w:tc>
                              <w:tc>
                                <w:tcPr>
                                  <w:tcW w:w="1002" w:type="dxa"/>
                                </w:tcPr>
                                <w:p>
                                  <w:pPr>
                                    <w:pStyle w:val="TableParagraph"/>
                                    <w:spacing w:line="235" w:lineRule="auto"/>
                                    <w:ind w:left="137" w:right="112"/>
                                    <w:rPr>
                                      <w:b/>
                                      <w:sz w:val="16"/>
                                    </w:rPr>
                                  </w:pPr>
                                  <w:r>
                                    <w:rPr>
                                      <w:b/>
                                      <w:sz w:val="16"/>
                                    </w:rPr>
                                    <w:t>Tanah</w:t>
                                  </w:r>
                                  <w:r>
                                    <w:rPr>
                                      <w:b/>
                                      <w:spacing w:val="-10"/>
                                      <w:sz w:val="16"/>
                                    </w:rPr>
                                    <w:t> </w:t>
                                  </w:r>
                                  <w:r>
                                    <w:rPr>
                                      <w:b/>
                                      <w:sz w:val="16"/>
                                    </w:rPr>
                                    <w:t>kali</w:t>
                                  </w:r>
                                  <w:r>
                                    <w:rPr>
                                      <w:b/>
                                      <w:spacing w:val="40"/>
                                      <w:sz w:val="16"/>
                                    </w:rPr>
                                    <w:t> </w:t>
                                  </w:r>
                                  <w:r>
                                    <w:rPr>
                                      <w:b/>
                                      <w:spacing w:val="-2"/>
                                      <w:sz w:val="16"/>
                                    </w:rPr>
                                    <w:t>Kedinding</w:t>
                                  </w:r>
                                </w:p>
                              </w:tc>
                              <w:tc>
                                <w:tcPr>
                                  <w:tcW w:w="715" w:type="dxa"/>
                                </w:tcPr>
                                <w:p>
                                  <w:pPr>
                                    <w:pStyle w:val="TableParagraph"/>
                                    <w:spacing w:line="177" w:lineRule="exact"/>
                                    <w:ind w:left="125"/>
                                    <w:rPr>
                                      <w:b/>
                                      <w:sz w:val="16"/>
                                    </w:rPr>
                                  </w:pPr>
                                  <w:r>
                                    <w:rPr>
                                      <w:b/>
                                      <w:spacing w:val="-2"/>
                                      <w:sz w:val="16"/>
                                    </w:rPr>
                                    <w:t>Total</w:t>
                                  </w:r>
                                </w:p>
                              </w:tc>
                            </w:tr>
                            <w:tr>
                              <w:trPr>
                                <w:trHeight w:val="370" w:hRule="atLeast"/>
                              </w:trPr>
                              <w:tc>
                                <w:tcPr>
                                  <w:tcW w:w="905" w:type="dxa"/>
                                </w:tcPr>
                                <w:p>
                                  <w:pPr>
                                    <w:pStyle w:val="TableParagraph"/>
                                    <w:spacing w:line="184" w:lineRule="exact"/>
                                    <w:rPr>
                                      <w:sz w:val="16"/>
                                    </w:rPr>
                                  </w:pPr>
                                  <w:r>
                                    <w:rPr>
                                      <w:spacing w:val="-2"/>
                                      <w:sz w:val="16"/>
                                    </w:rPr>
                                    <w:t>1968–</w:t>
                                  </w:r>
                                  <w:r>
                                    <w:rPr>
                                      <w:spacing w:val="-4"/>
                                      <w:sz w:val="16"/>
                                    </w:rPr>
                                    <w:t>1974</w:t>
                                  </w:r>
                                </w:p>
                              </w:tc>
                              <w:tc>
                                <w:tcPr>
                                  <w:tcW w:w="700" w:type="dxa"/>
                                </w:tcPr>
                                <w:p>
                                  <w:pPr>
                                    <w:pStyle w:val="TableParagraph"/>
                                    <w:spacing w:line="182" w:lineRule="exact"/>
                                    <w:ind w:left="135"/>
                                    <w:rPr>
                                      <w:sz w:val="16"/>
                                    </w:rPr>
                                  </w:pPr>
                                  <w:r>
                                    <w:rPr>
                                      <w:spacing w:val="-2"/>
                                      <w:sz w:val="16"/>
                                    </w:rPr>
                                    <w:t>33–</w:t>
                                  </w:r>
                                  <w:r>
                                    <w:rPr>
                                      <w:spacing w:val="-5"/>
                                      <w:sz w:val="16"/>
                                    </w:rPr>
                                    <w:t>38</w:t>
                                  </w:r>
                                </w:p>
                                <w:p>
                                  <w:pPr>
                                    <w:pStyle w:val="TableParagraph"/>
                                    <w:spacing w:line="169" w:lineRule="exact"/>
                                    <w:ind w:left="135"/>
                                    <w:rPr>
                                      <w:sz w:val="16"/>
                                    </w:rPr>
                                  </w:pPr>
                                  <w:r>
                                    <w:rPr>
                                      <w:spacing w:val="-2"/>
                                      <w:sz w:val="16"/>
                                    </w:rPr>
                                    <w:t>tahun</w:t>
                                  </w:r>
                                </w:p>
                              </w:tc>
                              <w:tc>
                                <w:tcPr>
                                  <w:tcW w:w="860" w:type="dxa"/>
                                </w:tcPr>
                                <w:p>
                                  <w:pPr>
                                    <w:pStyle w:val="TableParagraph"/>
                                    <w:spacing w:line="182" w:lineRule="exact"/>
                                    <w:ind w:left="146"/>
                                    <w:rPr>
                                      <w:sz w:val="16"/>
                                    </w:rPr>
                                  </w:pPr>
                                  <w:r>
                                    <w:rPr>
                                      <w:spacing w:val="-10"/>
                                      <w:sz w:val="16"/>
                                    </w:rPr>
                                    <w:t>6</w:t>
                                  </w:r>
                                </w:p>
                                <w:p>
                                  <w:pPr>
                                    <w:pStyle w:val="TableParagraph"/>
                                    <w:spacing w:line="169" w:lineRule="exact"/>
                                    <w:ind w:left="146"/>
                                    <w:rPr>
                                      <w:sz w:val="16"/>
                                    </w:rPr>
                                  </w:pPr>
                                  <w:r>
                                    <w:rPr>
                                      <w:spacing w:val="-2"/>
                                      <w:sz w:val="16"/>
                                    </w:rPr>
                                    <w:t>(42,9%)</w:t>
                                  </w:r>
                                </w:p>
                              </w:tc>
                              <w:tc>
                                <w:tcPr>
                                  <w:tcW w:w="1002" w:type="dxa"/>
                                </w:tcPr>
                                <w:p>
                                  <w:pPr>
                                    <w:pStyle w:val="TableParagraph"/>
                                    <w:spacing w:line="184" w:lineRule="exact"/>
                                    <w:ind w:left="0" w:right="92"/>
                                    <w:jc w:val="center"/>
                                    <w:rPr>
                                      <w:sz w:val="16"/>
                                    </w:rPr>
                                  </w:pPr>
                                  <w:r>
                                    <w:rPr>
                                      <w:sz w:val="16"/>
                                    </w:rPr>
                                    <w:t>4 </w:t>
                                  </w:r>
                                  <w:r>
                                    <w:rPr>
                                      <w:spacing w:val="-2"/>
                                      <w:sz w:val="16"/>
                                    </w:rPr>
                                    <w:t>(28,6%)</w:t>
                                  </w:r>
                                </w:p>
                              </w:tc>
                              <w:tc>
                                <w:tcPr>
                                  <w:tcW w:w="715" w:type="dxa"/>
                                </w:tcPr>
                                <w:p>
                                  <w:pPr>
                                    <w:pStyle w:val="TableParagraph"/>
                                    <w:spacing w:line="182" w:lineRule="exact"/>
                                    <w:ind w:left="125"/>
                                    <w:rPr>
                                      <w:b/>
                                      <w:sz w:val="16"/>
                                    </w:rPr>
                                  </w:pPr>
                                  <w:r>
                                    <w:rPr>
                                      <w:b/>
                                      <w:spacing w:val="-5"/>
                                      <w:sz w:val="16"/>
                                    </w:rPr>
                                    <w:t>10</w:t>
                                  </w:r>
                                </w:p>
                                <w:p>
                                  <w:pPr>
                                    <w:pStyle w:val="TableParagraph"/>
                                    <w:spacing w:line="169" w:lineRule="exact"/>
                                    <w:ind w:left="125"/>
                                    <w:rPr>
                                      <w:b/>
                                      <w:sz w:val="16"/>
                                    </w:rPr>
                                  </w:pPr>
                                  <w:r>
                                    <w:rPr>
                                      <w:b/>
                                      <w:spacing w:val="-2"/>
                                      <w:sz w:val="16"/>
                                    </w:rPr>
                                    <w:t>(35,7%)</w:t>
                                  </w:r>
                                </w:p>
                              </w:tc>
                            </w:tr>
                            <w:tr>
                              <w:trPr>
                                <w:trHeight w:val="369" w:hRule="atLeast"/>
                              </w:trPr>
                              <w:tc>
                                <w:tcPr>
                                  <w:tcW w:w="905" w:type="dxa"/>
                                </w:tcPr>
                                <w:p>
                                  <w:pPr>
                                    <w:pStyle w:val="TableParagraph"/>
                                    <w:spacing w:line="183" w:lineRule="exact"/>
                                    <w:rPr>
                                      <w:sz w:val="16"/>
                                    </w:rPr>
                                  </w:pPr>
                                  <w:r>
                                    <w:rPr>
                                      <w:spacing w:val="-2"/>
                                      <w:sz w:val="16"/>
                                    </w:rPr>
                                    <w:t>1975–</w:t>
                                  </w:r>
                                  <w:r>
                                    <w:rPr>
                                      <w:spacing w:val="-4"/>
                                      <w:sz w:val="16"/>
                                    </w:rPr>
                                    <w:t>1981</w:t>
                                  </w:r>
                                </w:p>
                              </w:tc>
                              <w:tc>
                                <w:tcPr>
                                  <w:tcW w:w="700" w:type="dxa"/>
                                </w:tcPr>
                                <w:p>
                                  <w:pPr>
                                    <w:pStyle w:val="TableParagraph"/>
                                    <w:spacing w:line="182" w:lineRule="exact"/>
                                    <w:ind w:left="135"/>
                                    <w:rPr>
                                      <w:sz w:val="16"/>
                                    </w:rPr>
                                  </w:pPr>
                                  <w:r>
                                    <w:rPr>
                                      <w:spacing w:val="-2"/>
                                      <w:sz w:val="16"/>
                                    </w:rPr>
                                    <w:t>39–</w:t>
                                  </w:r>
                                  <w:r>
                                    <w:rPr>
                                      <w:spacing w:val="-5"/>
                                      <w:sz w:val="16"/>
                                    </w:rPr>
                                    <w:t>44</w:t>
                                  </w:r>
                                </w:p>
                                <w:p>
                                  <w:pPr>
                                    <w:pStyle w:val="TableParagraph"/>
                                    <w:spacing w:line="168" w:lineRule="exact"/>
                                    <w:ind w:left="135"/>
                                    <w:rPr>
                                      <w:sz w:val="16"/>
                                    </w:rPr>
                                  </w:pPr>
                                  <w:r>
                                    <w:rPr>
                                      <w:spacing w:val="-2"/>
                                      <w:sz w:val="16"/>
                                    </w:rPr>
                                    <w:t>tahun</w:t>
                                  </w:r>
                                </w:p>
                              </w:tc>
                              <w:tc>
                                <w:tcPr>
                                  <w:tcW w:w="860" w:type="dxa"/>
                                </w:tcPr>
                                <w:p>
                                  <w:pPr>
                                    <w:pStyle w:val="TableParagraph"/>
                                    <w:spacing w:line="182" w:lineRule="exact"/>
                                    <w:ind w:left="146"/>
                                    <w:rPr>
                                      <w:sz w:val="16"/>
                                    </w:rPr>
                                  </w:pPr>
                                  <w:r>
                                    <w:rPr>
                                      <w:spacing w:val="-10"/>
                                      <w:sz w:val="16"/>
                                    </w:rPr>
                                    <w:t>4</w:t>
                                  </w:r>
                                </w:p>
                                <w:p>
                                  <w:pPr>
                                    <w:pStyle w:val="TableParagraph"/>
                                    <w:spacing w:line="168" w:lineRule="exact"/>
                                    <w:ind w:left="146"/>
                                    <w:rPr>
                                      <w:sz w:val="16"/>
                                    </w:rPr>
                                  </w:pPr>
                                  <w:r>
                                    <w:rPr>
                                      <w:spacing w:val="-2"/>
                                      <w:sz w:val="16"/>
                                    </w:rPr>
                                    <w:t>(28,6%)</w:t>
                                  </w:r>
                                </w:p>
                              </w:tc>
                              <w:tc>
                                <w:tcPr>
                                  <w:tcW w:w="1002" w:type="dxa"/>
                                </w:tcPr>
                                <w:p>
                                  <w:pPr>
                                    <w:pStyle w:val="TableParagraph"/>
                                    <w:spacing w:line="183" w:lineRule="exact"/>
                                    <w:ind w:left="0" w:right="92"/>
                                    <w:jc w:val="center"/>
                                    <w:rPr>
                                      <w:sz w:val="16"/>
                                    </w:rPr>
                                  </w:pPr>
                                  <w:r>
                                    <w:rPr>
                                      <w:sz w:val="16"/>
                                    </w:rPr>
                                    <w:t>5 </w:t>
                                  </w:r>
                                  <w:r>
                                    <w:rPr>
                                      <w:spacing w:val="-2"/>
                                      <w:sz w:val="16"/>
                                    </w:rPr>
                                    <w:t>(35,7%)</w:t>
                                  </w:r>
                                </w:p>
                              </w:tc>
                              <w:tc>
                                <w:tcPr>
                                  <w:tcW w:w="715" w:type="dxa"/>
                                </w:tcPr>
                                <w:p>
                                  <w:pPr>
                                    <w:pStyle w:val="TableParagraph"/>
                                    <w:spacing w:line="182" w:lineRule="exact"/>
                                    <w:ind w:left="125"/>
                                    <w:rPr>
                                      <w:b/>
                                      <w:sz w:val="16"/>
                                    </w:rPr>
                                  </w:pPr>
                                  <w:r>
                                    <w:rPr>
                                      <w:b/>
                                      <w:spacing w:val="-10"/>
                                      <w:sz w:val="16"/>
                                    </w:rPr>
                                    <w:t>9</w:t>
                                  </w:r>
                                </w:p>
                                <w:p>
                                  <w:pPr>
                                    <w:pStyle w:val="TableParagraph"/>
                                    <w:spacing w:line="168" w:lineRule="exact"/>
                                    <w:ind w:left="125"/>
                                    <w:rPr>
                                      <w:b/>
                                      <w:sz w:val="16"/>
                                    </w:rPr>
                                  </w:pPr>
                                  <w:r>
                                    <w:rPr>
                                      <w:b/>
                                      <w:spacing w:val="-2"/>
                                      <w:sz w:val="16"/>
                                    </w:rPr>
                                    <w:t>(32,1%)</w:t>
                                  </w:r>
                                </w:p>
                              </w:tc>
                            </w:tr>
                            <w:tr>
                              <w:trPr>
                                <w:trHeight w:val="365" w:hRule="atLeast"/>
                              </w:trPr>
                              <w:tc>
                                <w:tcPr>
                                  <w:tcW w:w="905" w:type="dxa"/>
                                </w:tcPr>
                                <w:p>
                                  <w:pPr>
                                    <w:pStyle w:val="TableParagraph"/>
                                    <w:spacing w:line="184" w:lineRule="exact"/>
                                    <w:rPr>
                                      <w:sz w:val="16"/>
                                    </w:rPr>
                                  </w:pPr>
                                  <w:r>
                                    <w:rPr>
                                      <w:spacing w:val="-2"/>
                                      <w:sz w:val="16"/>
                                    </w:rPr>
                                    <w:t>1982–</w:t>
                                  </w:r>
                                  <w:r>
                                    <w:rPr>
                                      <w:spacing w:val="-4"/>
                                      <w:sz w:val="16"/>
                                    </w:rPr>
                                    <w:t>1988</w:t>
                                  </w:r>
                                </w:p>
                              </w:tc>
                              <w:tc>
                                <w:tcPr>
                                  <w:tcW w:w="700" w:type="dxa"/>
                                </w:tcPr>
                                <w:p>
                                  <w:pPr>
                                    <w:pStyle w:val="TableParagraph"/>
                                    <w:spacing w:line="182" w:lineRule="exact"/>
                                    <w:ind w:left="135"/>
                                    <w:rPr>
                                      <w:sz w:val="16"/>
                                    </w:rPr>
                                  </w:pPr>
                                  <w:r>
                                    <w:rPr>
                                      <w:spacing w:val="-2"/>
                                      <w:sz w:val="16"/>
                                    </w:rPr>
                                    <w:t>45–</w:t>
                                  </w:r>
                                  <w:r>
                                    <w:rPr>
                                      <w:spacing w:val="-5"/>
                                      <w:sz w:val="16"/>
                                    </w:rPr>
                                    <w:t>50</w:t>
                                  </w:r>
                                </w:p>
                                <w:p>
                                  <w:pPr>
                                    <w:pStyle w:val="TableParagraph"/>
                                    <w:spacing w:line="164" w:lineRule="exact"/>
                                    <w:ind w:left="135"/>
                                    <w:rPr>
                                      <w:sz w:val="16"/>
                                    </w:rPr>
                                  </w:pPr>
                                  <w:r>
                                    <w:rPr>
                                      <w:spacing w:val="-2"/>
                                      <w:sz w:val="16"/>
                                    </w:rPr>
                                    <w:t>tahun</w:t>
                                  </w:r>
                                </w:p>
                              </w:tc>
                              <w:tc>
                                <w:tcPr>
                                  <w:tcW w:w="860" w:type="dxa"/>
                                </w:tcPr>
                                <w:p>
                                  <w:pPr>
                                    <w:pStyle w:val="TableParagraph"/>
                                    <w:spacing w:line="182" w:lineRule="exact"/>
                                    <w:ind w:left="146"/>
                                    <w:rPr>
                                      <w:sz w:val="16"/>
                                    </w:rPr>
                                  </w:pPr>
                                  <w:r>
                                    <w:rPr>
                                      <w:spacing w:val="-10"/>
                                      <w:sz w:val="16"/>
                                    </w:rPr>
                                    <w:t>2</w:t>
                                  </w:r>
                                </w:p>
                                <w:p>
                                  <w:pPr>
                                    <w:pStyle w:val="TableParagraph"/>
                                    <w:spacing w:line="164" w:lineRule="exact"/>
                                    <w:ind w:left="146"/>
                                    <w:rPr>
                                      <w:sz w:val="16"/>
                                    </w:rPr>
                                  </w:pPr>
                                  <w:r>
                                    <w:rPr>
                                      <w:spacing w:val="-2"/>
                                      <w:sz w:val="16"/>
                                    </w:rPr>
                                    <w:t>(14,3%)</w:t>
                                  </w:r>
                                </w:p>
                              </w:tc>
                              <w:tc>
                                <w:tcPr>
                                  <w:tcW w:w="1002" w:type="dxa"/>
                                </w:tcPr>
                                <w:p>
                                  <w:pPr>
                                    <w:pStyle w:val="TableParagraph"/>
                                    <w:spacing w:line="184" w:lineRule="exact"/>
                                    <w:ind w:left="0" w:right="92"/>
                                    <w:jc w:val="center"/>
                                    <w:rPr>
                                      <w:sz w:val="16"/>
                                    </w:rPr>
                                  </w:pPr>
                                  <w:r>
                                    <w:rPr>
                                      <w:sz w:val="16"/>
                                    </w:rPr>
                                    <w:t>3 </w:t>
                                  </w:r>
                                  <w:r>
                                    <w:rPr>
                                      <w:spacing w:val="-2"/>
                                      <w:sz w:val="16"/>
                                    </w:rPr>
                                    <w:t>(21,4%)</w:t>
                                  </w:r>
                                </w:p>
                              </w:tc>
                              <w:tc>
                                <w:tcPr>
                                  <w:tcW w:w="715" w:type="dxa"/>
                                </w:tcPr>
                                <w:p>
                                  <w:pPr>
                                    <w:pStyle w:val="TableParagraph"/>
                                    <w:spacing w:line="182" w:lineRule="exact"/>
                                    <w:ind w:left="125"/>
                                    <w:rPr>
                                      <w:b/>
                                      <w:sz w:val="16"/>
                                    </w:rPr>
                                  </w:pPr>
                                  <w:r>
                                    <w:rPr>
                                      <w:b/>
                                      <w:spacing w:val="-10"/>
                                      <w:sz w:val="16"/>
                                    </w:rPr>
                                    <w:t>5</w:t>
                                  </w:r>
                                </w:p>
                                <w:p>
                                  <w:pPr>
                                    <w:pStyle w:val="TableParagraph"/>
                                    <w:spacing w:line="164" w:lineRule="exact"/>
                                    <w:ind w:left="125"/>
                                    <w:rPr>
                                      <w:b/>
                                      <w:sz w:val="16"/>
                                    </w:rPr>
                                  </w:pPr>
                                  <w:r>
                                    <w:rPr>
                                      <w:b/>
                                      <w:spacing w:val="-2"/>
                                      <w:sz w:val="16"/>
                                    </w:rPr>
                                    <w:t>(17,9%)</w:t>
                                  </w:r>
                                </w:p>
                              </w:tc>
                            </w:tr>
                            <w:tr>
                              <w:trPr>
                                <w:trHeight w:val="370" w:hRule="atLeast"/>
                              </w:trPr>
                              <w:tc>
                                <w:tcPr>
                                  <w:tcW w:w="905" w:type="dxa"/>
                                </w:tcPr>
                                <w:p>
                                  <w:pPr>
                                    <w:pStyle w:val="TableParagraph"/>
                                    <w:spacing w:line="179" w:lineRule="exact"/>
                                    <w:rPr>
                                      <w:sz w:val="16"/>
                                    </w:rPr>
                                  </w:pPr>
                                  <w:r>
                                    <w:rPr>
                                      <w:spacing w:val="-2"/>
                                      <w:sz w:val="16"/>
                                    </w:rPr>
                                    <w:t>1989–</w:t>
                                  </w:r>
                                  <w:r>
                                    <w:rPr>
                                      <w:spacing w:val="-4"/>
                                      <w:sz w:val="16"/>
                                    </w:rPr>
                                    <w:t>1995</w:t>
                                  </w:r>
                                </w:p>
                              </w:tc>
                              <w:tc>
                                <w:tcPr>
                                  <w:tcW w:w="700" w:type="dxa"/>
                                </w:tcPr>
                                <w:p>
                                  <w:pPr>
                                    <w:pStyle w:val="TableParagraph"/>
                                    <w:spacing w:line="179" w:lineRule="exact"/>
                                    <w:ind w:left="135"/>
                                    <w:rPr>
                                      <w:sz w:val="16"/>
                                    </w:rPr>
                                  </w:pPr>
                                  <w:r>
                                    <w:rPr>
                                      <w:spacing w:val="-2"/>
                                      <w:sz w:val="16"/>
                                    </w:rPr>
                                    <w:t>51–</w:t>
                                  </w:r>
                                  <w:r>
                                    <w:rPr>
                                      <w:spacing w:val="-5"/>
                                      <w:sz w:val="16"/>
                                    </w:rPr>
                                    <w:t>57</w:t>
                                  </w:r>
                                </w:p>
                                <w:p>
                                  <w:pPr>
                                    <w:pStyle w:val="TableParagraph"/>
                                    <w:spacing w:line="165" w:lineRule="exact" w:before="6"/>
                                    <w:ind w:left="135"/>
                                    <w:rPr>
                                      <w:sz w:val="16"/>
                                    </w:rPr>
                                  </w:pPr>
                                  <w:r>
                                    <w:rPr>
                                      <w:spacing w:val="-2"/>
                                      <w:sz w:val="16"/>
                                    </w:rPr>
                                    <w:t>tahun</w:t>
                                  </w:r>
                                </w:p>
                              </w:tc>
                              <w:tc>
                                <w:tcPr>
                                  <w:tcW w:w="860" w:type="dxa"/>
                                </w:tcPr>
                                <w:p>
                                  <w:pPr>
                                    <w:pStyle w:val="TableParagraph"/>
                                    <w:spacing w:line="179" w:lineRule="exact"/>
                                    <w:ind w:left="146"/>
                                    <w:rPr>
                                      <w:sz w:val="16"/>
                                    </w:rPr>
                                  </w:pPr>
                                  <w:r>
                                    <w:rPr>
                                      <w:spacing w:val="-10"/>
                                      <w:sz w:val="16"/>
                                    </w:rPr>
                                    <w:t>2</w:t>
                                  </w:r>
                                </w:p>
                                <w:p>
                                  <w:pPr>
                                    <w:pStyle w:val="TableParagraph"/>
                                    <w:spacing w:line="165" w:lineRule="exact" w:before="6"/>
                                    <w:ind w:left="146"/>
                                    <w:rPr>
                                      <w:sz w:val="16"/>
                                    </w:rPr>
                                  </w:pPr>
                                  <w:r>
                                    <w:rPr>
                                      <w:spacing w:val="-2"/>
                                      <w:sz w:val="16"/>
                                    </w:rPr>
                                    <w:t>(14,3%)</w:t>
                                  </w:r>
                                </w:p>
                              </w:tc>
                              <w:tc>
                                <w:tcPr>
                                  <w:tcW w:w="1002" w:type="dxa"/>
                                </w:tcPr>
                                <w:p>
                                  <w:pPr>
                                    <w:pStyle w:val="TableParagraph"/>
                                    <w:spacing w:line="179" w:lineRule="exact"/>
                                    <w:ind w:left="0" w:right="92"/>
                                    <w:jc w:val="center"/>
                                    <w:rPr>
                                      <w:sz w:val="16"/>
                                    </w:rPr>
                                  </w:pPr>
                                  <w:r>
                                    <w:rPr>
                                      <w:sz w:val="16"/>
                                    </w:rPr>
                                    <w:t>2 </w:t>
                                  </w:r>
                                  <w:r>
                                    <w:rPr>
                                      <w:spacing w:val="-2"/>
                                      <w:sz w:val="16"/>
                                    </w:rPr>
                                    <w:t>(14,3%)</w:t>
                                  </w:r>
                                </w:p>
                              </w:tc>
                              <w:tc>
                                <w:tcPr>
                                  <w:tcW w:w="715" w:type="dxa"/>
                                </w:tcPr>
                                <w:p>
                                  <w:pPr>
                                    <w:pStyle w:val="TableParagraph"/>
                                    <w:spacing w:line="179" w:lineRule="exact"/>
                                    <w:ind w:left="125"/>
                                    <w:rPr>
                                      <w:b/>
                                      <w:sz w:val="16"/>
                                    </w:rPr>
                                  </w:pPr>
                                  <w:r>
                                    <w:rPr>
                                      <w:b/>
                                      <w:spacing w:val="-10"/>
                                      <w:sz w:val="16"/>
                                    </w:rPr>
                                    <w:t>4</w:t>
                                  </w:r>
                                </w:p>
                                <w:p>
                                  <w:pPr>
                                    <w:pStyle w:val="TableParagraph"/>
                                    <w:spacing w:line="165" w:lineRule="exact" w:before="6"/>
                                    <w:ind w:left="125"/>
                                    <w:rPr>
                                      <w:b/>
                                      <w:sz w:val="16"/>
                                    </w:rPr>
                                  </w:pPr>
                                  <w:r>
                                    <w:rPr>
                                      <w:b/>
                                      <w:spacing w:val="-2"/>
                                      <w:sz w:val="16"/>
                                    </w:rPr>
                                    <w:t>(14,3%)</w:t>
                                  </w:r>
                                </w:p>
                              </w:tc>
                            </w:tr>
                            <w:tr>
                              <w:trPr>
                                <w:trHeight w:val="368" w:hRule="atLeast"/>
                              </w:trPr>
                              <w:tc>
                                <w:tcPr>
                                  <w:tcW w:w="905" w:type="dxa"/>
                                </w:tcPr>
                                <w:p>
                                  <w:pPr>
                                    <w:pStyle w:val="TableParagraph"/>
                                    <w:spacing w:line="179" w:lineRule="exact"/>
                                    <w:rPr>
                                      <w:sz w:val="16"/>
                                    </w:rPr>
                                  </w:pPr>
                                  <w:r>
                                    <w:rPr>
                                      <w:spacing w:val="-2"/>
                                      <w:sz w:val="16"/>
                                    </w:rPr>
                                    <w:t>Total</w:t>
                                  </w:r>
                                </w:p>
                              </w:tc>
                              <w:tc>
                                <w:tcPr>
                                  <w:tcW w:w="700" w:type="dxa"/>
                                </w:tcPr>
                                <w:p>
                                  <w:pPr>
                                    <w:pStyle w:val="TableParagraph"/>
                                    <w:spacing w:line="179" w:lineRule="exact"/>
                                    <w:ind w:left="135"/>
                                    <w:rPr>
                                      <w:sz w:val="16"/>
                                    </w:rPr>
                                  </w:pPr>
                                  <w:r>
                                    <w:rPr>
                                      <w:spacing w:val="-5"/>
                                      <w:sz w:val="16"/>
                                    </w:rPr>
                                    <w:t>14</w:t>
                                  </w:r>
                                </w:p>
                                <w:p>
                                  <w:pPr>
                                    <w:pStyle w:val="TableParagraph"/>
                                    <w:tabs>
                                      <w:tab w:pos="845" w:val="left" w:leader="none"/>
                                    </w:tabs>
                                    <w:spacing w:line="164" w:lineRule="exact" w:before="6"/>
                                    <w:ind w:left="-986" w:right="-159"/>
                                    <w:rPr>
                                      <w:sz w:val="16"/>
                                    </w:rPr>
                                  </w:pPr>
                                  <w:r>
                                    <w:rPr>
                                      <w:spacing w:val="64"/>
                                      <w:w w:val="150"/>
                                      <w:sz w:val="16"/>
                                      <w:u w:val="single" w:color="7E7E7E"/>
                                    </w:rPr>
                                    <w:t>         </w:t>
                                  </w:r>
                                  <w:r>
                                    <w:rPr>
                                      <w:spacing w:val="-2"/>
                                      <w:sz w:val="16"/>
                                      <w:u w:val="single" w:color="7E7E7E"/>
                                    </w:rPr>
                                    <w:t>(100%)</w:t>
                                  </w:r>
                                  <w:r>
                                    <w:rPr>
                                      <w:sz w:val="16"/>
                                      <w:u w:val="single" w:color="7E7E7E"/>
                                    </w:rPr>
                                    <w:tab/>
                                  </w:r>
                                </w:p>
                              </w:tc>
                              <w:tc>
                                <w:tcPr>
                                  <w:tcW w:w="860" w:type="dxa"/>
                                </w:tcPr>
                                <w:p>
                                  <w:pPr>
                                    <w:pStyle w:val="TableParagraph"/>
                                    <w:spacing w:line="179" w:lineRule="exact"/>
                                    <w:ind w:left="146"/>
                                    <w:rPr>
                                      <w:sz w:val="16"/>
                                    </w:rPr>
                                  </w:pPr>
                                  <w:r>
                                    <w:rPr>
                                      <w:spacing w:val="-5"/>
                                      <w:sz w:val="16"/>
                                    </w:rPr>
                                    <w:t>14</w:t>
                                  </w:r>
                                </w:p>
                                <w:p>
                                  <w:pPr>
                                    <w:pStyle w:val="TableParagraph"/>
                                    <w:tabs>
                                      <w:tab w:pos="1987" w:val="left" w:leader="none"/>
                                    </w:tabs>
                                    <w:spacing w:line="164" w:lineRule="exact" w:before="6"/>
                                    <w:ind w:left="146" w:right="-1138"/>
                                    <w:rPr>
                                      <w:sz w:val="16"/>
                                    </w:rPr>
                                  </w:pPr>
                                  <w:r>
                                    <w:rPr>
                                      <w:spacing w:val="-2"/>
                                      <w:sz w:val="16"/>
                                      <w:u w:val="single" w:color="7E7E7E"/>
                                    </w:rPr>
                                    <w:t>(100%)</w:t>
                                  </w:r>
                                  <w:r>
                                    <w:rPr>
                                      <w:sz w:val="16"/>
                                      <w:u w:val="single" w:color="7E7E7E"/>
                                    </w:rPr>
                                    <w:tab/>
                                  </w:r>
                                </w:p>
                              </w:tc>
                              <w:tc>
                                <w:tcPr>
                                  <w:tcW w:w="1002" w:type="dxa"/>
                                </w:tcPr>
                                <w:p>
                                  <w:pPr>
                                    <w:pStyle w:val="TableParagraph"/>
                                    <w:spacing w:line="179" w:lineRule="exact"/>
                                    <w:ind w:left="40" w:right="92"/>
                                    <w:jc w:val="center"/>
                                    <w:rPr>
                                      <w:sz w:val="16"/>
                                    </w:rPr>
                                  </w:pPr>
                                  <w:r>
                                    <w:rPr>
                                      <w:sz w:val="16"/>
                                    </w:rPr>
                                    <w:t>14 </w:t>
                                  </w:r>
                                  <w:r>
                                    <w:rPr>
                                      <w:spacing w:val="-2"/>
                                      <w:sz w:val="16"/>
                                    </w:rPr>
                                    <w:t>(100%)</w:t>
                                  </w:r>
                                </w:p>
                              </w:tc>
                              <w:tc>
                                <w:tcPr>
                                  <w:tcW w:w="715" w:type="dxa"/>
                                </w:tcPr>
                                <w:p>
                                  <w:pPr>
                                    <w:pStyle w:val="TableParagraph"/>
                                    <w:spacing w:line="179" w:lineRule="exact"/>
                                    <w:ind w:left="125"/>
                                    <w:rPr>
                                      <w:b/>
                                      <w:sz w:val="16"/>
                                    </w:rPr>
                                  </w:pPr>
                                  <w:r>
                                    <w:rPr>
                                      <w:b/>
                                      <w:spacing w:val="-5"/>
                                      <w:sz w:val="16"/>
                                    </w:rPr>
                                    <w:t>28</w:t>
                                  </w:r>
                                </w:p>
                                <w:p>
                                  <w:pPr>
                                    <w:pStyle w:val="TableParagraph"/>
                                    <w:spacing w:line="164" w:lineRule="exact" w:before="6"/>
                                    <w:ind w:left="125" w:right="-116"/>
                                    <w:rPr>
                                      <w:b/>
                                      <w:sz w:val="16"/>
                                    </w:rPr>
                                  </w:pPr>
                                  <w:r>
                                    <w:rPr>
                                      <w:b/>
                                      <w:spacing w:val="-2"/>
                                      <w:sz w:val="16"/>
                                      <w:u w:val="single" w:color="7E7E7E"/>
                                    </w:rPr>
                                    <w:t>(100%)</w:t>
                                  </w:r>
                                  <w:r>
                                    <w:rPr>
                                      <w:b/>
                                      <w:spacing w:val="40"/>
                                      <w:sz w:val="16"/>
                                      <w:u w:val="single" w:color="7E7E7E"/>
                                    </w:rPr>
                                    <w:t> </w:t>
                                  </w:r>
                                </w:p>
                              </w:tc>
                            </w:tr>
                          </w:tbl>
                          <w:p>
                            <w:pPr>
                              <w:pStyle w:val="BodyText"/>
                              <w:jc w:val="left"/>
                            </w:pPr>
                          </w:p>
                        </w:txbxContent>
                      </wps:txbx>
                      <wps:bodyPr wrap="square" lIns="0" tIns="0" rIns="0" bIns="0" rtlCol="0">
                        <a:noAutofit/>
                      </wps:bodyPr>
                    </wps:wsp>
                  </a:graphicData>
                </a:graphic>
              </wp:anchor>
            </w:drawing>
          </mc:Choice>
          <mc:Fallback>
            <w:pict>
              <v:shape style="position:absolute;margin-left:321.279999pt;margin-top:12.266504pt;width:215.3pt;height:119.75pt;mso-position-horizontal-relative:page;mso-position-vertical-relative:paragraph;z-index:15730688" type="#_x0000_t202" id="docshape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5"/>
                        <w:gridCol w:w="700"/>
                        <w:gridCol w:w="860"/>
                        <w:gridCol w:w="1002"/>
                        <w:gridCol w:w="715"/>
                      </w:tblGrid>
                      <w:tr>
                        <w:trPr>
                          <w:trHeight w:val="553" w:hRule="atLeast"/>
                        </w:trPr>
                        <w:tc>
                          <w:tcPr>
                            <w:tcW w:w="905" w:type="dxa"/>
                          </w:tcPr>
                          <w:p>
                            <w:pPr>
                              <w:pStyle w:val="TableParagraph"/>
                              <w:spacing w:line="177" w:lineRule="exact"/>
                              <w:rPr>
                                <w:b/>
                                <w:sz w:val="16"/>
                              </w:rPr>
                            </w:pPr>
                            <w:r>
                              <w:rPr>
                                <w:b/>
                                <w:spacing w:val="-2"/>
                                <w:sz w:val="16"/>
                              </w:rPr>
                              <w:t>Tahun</w:t>
                            </w:r>
                          </w:p>
                        </w:tc>
                        <w:tc>
                          <w:tcPr>
                            <w:tcW w:w="700" w:type="dxa"/>
                          </w:tcPr>
                          <w:p>
                            <w:pPr>
                              <w:pStyle w:val="TableParagraph"/>
                              <w:spacing w:line="235" w:lineRule="auto"/>
                              <w:ind w:left="135" w:right="69"/>
                              <w:rPr>
                                <w:b/>
                                <w:sz w:val="16"/>
                              </w:rPr>
                            </w:pPr>
                            <w:r>
                              <w:rPr>
                                <w:b/>
                                <w:spacing w:val="-4"/>
                                <w:sz w:val="16"/>
                              </w:rPr>
                              <w:t>Interv</w:t>
                            </w:r>
                            <w:r>
                              <w:rPr>
                                <w:b/>
                                <w:spacing w:val="40"/>
                                <w:sz w:val="16"/>
                              </w:rPr>
                              <w:t> </w:t>
                            </w:r>
                            <w:r>
                              <w:rPr>
                                <w:b/>
                                <w:spacing w:val="-6"/>
                                <w:sz w:val="16"/>
                              </w:rPr>
                              <w:t>al</w:t>
                            </w:r>
                          </w:p>
                          <w:p>
                            <w:pPr>
                              <w:pStyle w:val="TableParagraph"/>
                              <w:tabs>
                                <w:tab w:pos="3388" w:val="left" w:leader="none"/>
                              </w:tabs>
                              <w:spacing w:line="170" w:lineRule="exact" w:before="2"/>
                              <w:ind w:left="-976" w:right="-2693"/>
                              <w:rPr>
                                <w:b/>
                                <w:sz w:val="16"/>
                              </w:rPr>
                            </w:pPr>
                            <w:r>
                              <w:rPr>
                                <w:b/>
                                <w:spacing w:val="78"/>
                                <w:w w:val="150"/>
                                <w:sz w:val="16"/>
                                <w:u w:val="single" w:color="7E7E7E"/>
                              </w:rPr>
                              <w:t>        </w:t>
                            </w:r>
                            <w:r>
                              <w:rPr>
                                <w:b/>
                                <w:spacing w:val="-2"/>
                                <w:sz w:val="16"/>
                                <w:u w:val="single" w:color="7E7E7E"/>
                              </w:rPr>
                              <w:t>tahun</w:t>
                            </w:r>
                            <w:r>
                              <w:rPr>
                                <w:b/>
                                <w:sz w:val="16"/>
                                <w:u w:val="single" w:color="7E7E7E"/>
                              </w:rPr>
                              <w:tab/>
                            </w:r>
                          </w:p>
                        </w:tc>
                        <w:tc>
                          <w:tcPr>
                            <w:tcW w:w="860" w:type="dxa"/>
                          </w:tcPr>
                          <w:p>
                            <w:pPr>
                              <w:pStyle w:val="TableParagraph"/>
                              <w:spacing w:line="177" w:lineRule="exact"/>
                              <w:ind w:left="146"/>
                              <w:rPr>
                                <w:b/>
                                <w:sz w:val="16"/>
                              </w:rPr>
                            </w:pPr>
                            <w:r>
                              <w:rPr>
                                <w:b/>
                                <w:spacing w:val="-2"/>
                                <w:sz w:val="16"/>
                              </w:rPr>
                              <w:t>Genteng</w:t>
                            </w:r>
                          </w:p>
                        </w:tc>
                        <w:tc>
                          <w:tcPr>
                            <w:tcW w:w="1002" w:type="dxa"/>
                          </w:tcPr>
                          <w:p>
                            <w:pPr>
                              <w:pStyle w:val="TableParagraph"/>
                              <w:spacing w:line="235" w:lineRule="auto"/>
                              <w:ind w:left="137" w:right="112"/>
                              <w:rPr>
                                <w:b/>
                                <w:sz w:val="16"/>
                              </w:rPr>
                            </w:pPr>
                            <w:r>
                              <w:rPr>
                                <w:b/>
                                <w:sz w:val="16"/>
                              </w:rPr>
                              <w:t>Tanah</w:t>
                            </w:r>
                            <w:r>
                              <w:rPr>
                                <w:b/>
                                <w:spacing w:val="-10"/>
                                <w:sz w:val="16"/>
                              </w:rPr>
                              <w:t> </w:t>
                            </w:r>
                            <w:r>
                              <w:rPr>
                                <w:b/>
                                <w:sz w:val="16"/>
                              </w:rPr>
                              <w:t>kali</w:t>
                            </w:r>
                            <w:r>
                              <w:rPr>
                                <w:b/>
                                <w:spacing w:val="40"/>
                                <w:sz w:val="16"/>
                              </w:rPr>
                              <w:t> </w:t>
                            </w:r>
                            <w:r>
                              <w:rPr>
                                <w:b/>
                                <w:spacing w:val="-2"/>
                                <w:sz w:val="16"/>
                              </w:rPr>
                              <w:t>Kedinding</w:t>
                            </w:r>
                          </w:p>
                        </w:tc>
                        <w:tc>
                          <w:tcPr>
                            <w:tcW w:w="715" w:type="dxa"/>
                          </w:tcPr>
                          <w:p>
                            <w:pPr>
                              <w:pStyle w:val="TableParagraph"/>
                              <w:spacing w:line="177" w:lineRule="exact"/>
                              <w:ind w:left="125"/>
                              <w:rPr>
                                <w:b/>
                                <w:sz w:val="16"/>
                              </w:rPr>
                            </w:pPr>
                            <w:r>
                              <w:rPr>
                                <w:b/>
                                <w:spacing w:val="-2"/>
                                <w:sz w:val="16"/>
                              </w:rPr>
                              <w:t>Total</w:t>
                            </w:r>
                          </w:p>
                        </w:tc>
                      </w:tr>
                      <w:tr>
                        <w:trPr>
                          <w:trHeight w:val="370" w:hRule="atLeast"/>
                        </w:trPr>
                        <w:tc>
                          <w:tcPr>
                            <w:tcW w:w="905" w:type="dxa"/>
                          </w:tcPr>
                          <w:p>
                            <w:pPr>
                              <w:pStyle w:val="TableParagraph"/>
                              <w:spacing w:line="184" w:lineRule="exact"/>
                              <w:rPr>
                                <w:sz w:val="16"/>
                              </w:rPr>
                            </w:pPr>
                            <w:r>
                              <w:rPr>
                                <w:spacing w:val="-2"/>
                                <w:sz w:val="16"/>
                              </w:rPr>
                              <w:t>1968–</w:t>
                            </w:r>
                            <w:r>
                              <w:rPr>
                                <w:spacing w:val="-4"/>
                                <w:sz w:val="16"/>
                              </w:rPr>
                              <w:t>1974</w:t>
                            </w:r>
                          </w:p>
                        </w:tc>
                        <w:tc>
                          <w:tcPr>
                            <w:tcW w:w="700" w:type="dxa"/>
                          </w:tcPr>
                          <w:p>
                            <w:pPr>
                              <w:pStyle w:val="TableParagraph"/>
                              <w:spacing w:line="182" w:lineRule="exact"/>
                              <w:ind w:left="135"/>
                              <w:rPr>
                                <w:sz w:val="16"/>
                              </w:rPr>
                            </w:pPr>
                            <w:r>
                              <w:rPr>
                                <w:spacing w:val="-2"/>
                                <w:sz w:val="16"/>
                              </w:rPr>
                              <w:t>33–</w:t>
                            </w:r>
                            <w:r>
                              <w:rPr>
                                <w:spacing w:val="-5"/>
                                <w:sz w:val="16"/>
                              </w:rPr>
                              <w:t>38</w:t>
                            </w:r>
                          </w:p>
                          <w:p>
                            <w:pPr>
                              <w:pStyle w:val="TableParagraph"/>
                              <w:spacing w:line="169" w:lineRule="exact"/>
                              <w:ind w:left="135"/>
                              <w:rPr>
                                <w:sz w:val="16"/>
                              </w:rPr>
                            </w:pPr>
                            <w:r>
                              <w:rPr>
                                <w:spacing w:val="-2"/>
                                <w:sz w:val="16"/>
                              </w:rPr>
                              <w:t>tahun</w:t>
                            </w:r>
                          </w:p>
                        </w:tc>
                        <w:tc>
                          <w:tcPr>
                            <w:tcW w:w="860" w:type="dxa"/>
                          </w:tcPr>
                          <w:p>
                            <w:pPr>
                              <w:pStyle w:val="TableParagraph"/>
                              <w:spacing w:line="182" w:lineRule="exact"/>
                              <w:ind w:left="146"/>
                              <w:rPr>
                                <w:sz w:val="16"/>
                              </w:rPr>
                            </w:pPr>
                            <w:r>
                              <w:rPr>
                                <w:spacing w:val="-10"/>
                                <w:sz w:val="16"/>
                              </w:rPr>
                              <w:t>6</w:t>
                            </w:r>
                          </w:p>
                          <w:p>
                            <w:pPr>
                              <w:pStyle w:val="TableParagraph"/>
                              <w:spacing w:line="169" w:lineRule="exact"/>
                              <w:ind w:left="146"/>
                              <w:rPr>
                                <w:sz w:val="16"/>
                              </w:rPr>
                            </w:pPr>
                            <w:r>
                              <w:rPr>
                                <w:spacing w:val="-2"/>
                                <w:sz w:val="16"/>
                              </w:rPr>
                              <w:t>(42,9%)</w:t>
                            </w:r>
                          </w:p>
                        </w:tc>
                        <w:tc>
                          <w:tcPr>
                            <w:tcW w:w="1002" w:type="dxa"/>
                          </w:tcPr>
                          <w:p>
                            <w:pPr>
                              <w:pStyle w:val="TableParagraph"/>
                              <w:spacing w:line="184" w:lineRule="exact"/>
                              <w:ind w:left="0" w:right="92"/>
                              <w:jc w:val="center"/>
                              <w:rPr>
                                <w:sz w:val="16"/>
                              </w:rPr>
                            </w:pPr>
                            <w:r>
                              <w:rPr>
                                <w:sz w:val="16"/>
                              </w:rPr>
                              <w:t>4 </w:t>
                            </w:r>
                            <w:r>
                              <w:rPr>
                                <w:spacing w:val="-2"/>
                                <w:sz w:val="16"/>
                              </w:rPr>
                              <w:t>(28,6%)</w:t>
                            </w:r>
                          </w:p>
                        </w:tc>
                        <w:tc>
                          <w:tcPr>
                            <w:tcW w:w="715" w:type="dxa"/>
                          </w:tcPr>
                          <w:p>
                            <w:pPr>
                              <w:pStyle w:val="TableParagraph"/>
                              <w:spacing w:line="182" w:lineRule="exact"/>
                              <w:ind w:left="125"/>
                              <w:rPr>
                                <w:b/>
                                <w:sz w:val="16"/>
                              </w:rPr>
                            </w:pPr>
                            <w:r>
                              <w:rPr>
                                <w:b/>
                                <w:spacing w:val="-5"/>
                                <w:sz w:val="16"/>
                              </w:rPr>
                              <w:t>10</w:t>
                            </w:r>
                          </w:p>
                          <w:p>
                            <w:pPr>
                              <w:pStyle w:val="TableParagraph"/>
                              <w:spacing w:line="169" w:lineRule="exact"/>
                              <w:ind w:left="125"/>
                              <w:rPr>
                                <w:b/>
                                <w:sz w:val="16"/>
                              </w:rPr>
                            </w:pPr>
                            <w:r>
                              <w:rPr>
                                <w:b/>
                                <w:spacing w:val="-2"/>
                                <w:sz w:val="16"/>
                              </w:rPr>
                              <w:t>(35,7%)</w:t>
                            </w:r>
                          </w:p>
                        </w:tc>
                      </w:tr>
                      <w:tr>
                        <w:trPr>
                          <w:trHeight w:val="369" w:hRule="atLeast"/>
                        </w:trPr>
                        <w:tc>
                          <w:tcPr>
                            <w:tcW w:w="905" w:type="dxa"/>
                          </w:tcPr>
                          <w:p>
                            <w:pPr>
                              <w:pStyle w:val="TableParagraph"/>
                              <w:spacing w:line="183" w:lineRule="exact"/>
                              <w:rPr>
                                <w:sz w:val="16"/>
                              </w:rPr>
                            </w:pPr>
                            <w:r>
                              <w:rPr>
                                <w:spacing w:val="-2"/>
                                <w:sz w:val="16"/>
                              </w:rPr>
                              <w:t>1975–</w:t>
                            </w:r>
                            <w:r>
                              <w:rPr>
                                <w:spacing w:val="-4"/>
                                <w:sz w:val="16"/>
                              </w:rPr>
                              <w:t>1981</w:t>
                            </w:r>
                          </w:p>
                        </w:tc>
                        <w:tc>
                          <w:tcPr>
                            <w:tcW w:w="700" w:type="dxa"/>
                          </w:tcPr>
                          <w:p>
                            <w:pPr>
                              <w:pStyle w:val="TableParagraph"/>
                              <w:spacing w:line="182" w:lineRule="exact"/>
                              <w:ind w:left="135"/>
                              <w:rPr>
                                <w:sz w:val="16"/>
                              </w:rPr>
                            </w:pPr>
                            <w:r>
                              <w:rPr>
                                <w:spacing w:val="-2"/>
                                <w:sz w:val="16"/>
                              </w:rPr>
                              <w:t>39–</w:t>
                            </w:r>
                            <w:r>
                              <w:rPr>
                                <w:spacing w:val="-5"/>
                                <w:sz w:val="16"/>
                              </w:rPr>
                              <w:t>44</w:t>
                            </w:r>
                          </w:p>
                          <w:p>
                            <w:pPr>
                              <w:pStyle w:val="TableParagraph"/>
                              <w:spacing w:line="168" w:lineRule="exact"/>
                              <w:ind w:left="135"/>
                              <w:rPr>
                                <w:sz w:val="16"/>
                              </w:rPr>
                            </w:pPr>
                            <w:r>
                              <w:rPr>
                                <w:spacing w:val="-2"/>
                                <w:sz w:val="16"/>
                              </w:rPr>
                              <w:t>tahun</w:t>
                            </w:r>
                          </w:p>
                        </w:tc>
                        <w:tc>
                          <w:tcPr>
                            <w:tcW w:w="860" w:type="dxa"/>
                          </w:tcPr>
                          <w:p>
                            <w:pPr>
                              <w:pStyle w:val="TableParagraph"/>
                              <w:spacing w:line="182" w:lineRule="exact"/>
                              <w:ind w:left="146"/>
                              <w:rPr>
                                <w:sz w:val="16"/>
                              </w:rPr>
                            </w:pPr>
                            <w:r>
                              <w:rPr>
                                <w:spacing w:val="-10"/>
                                <w:sz w:val="16"/>
                              </w:rPr>
                              <w:t>4</w:t>
                            </w:r>
                          </w:p>
                          <w:p>
                            <w:pPr>
                              <w:pStyle w:val="TableParagraph"/>
                              <w:spacing w:line="168" w:lineRule="exact"/>
                              <w:ind w:left="146"/>
                              <w:rPr>
                                <w:sz w:val="16"/>
                              </w:rPr>
                            </w:pPr>
                            <w:r>
                              <w:rPr>
                                <w:spacing w:val="-2"/>
                                <w:sz w:val="16"/>
                              </w:rPr>
                              <w:t>(28,6%)</w:t>
                            </w:r>
                          </w:p>
                        </w:tc>
                        <w:tc>
                          <w:tcPr>
                            <w:tcW w:w="1002" w:type="dxa"/>
                          </w:tcPr>
                          <w:p>
                            <w:pPr>
                              <w:pStyle w:val="TableParagraph"/>
                              <w:spacing w:line="183" w:lineRule="exact"/>
                              <w:ind w:left="0" w:right="92"/>
                              <w:jc w:val="center"/>
                              <w:rPr>
                                <w:sz w:val="16"/>
                              </w:rPr>
                            </w:pPr>
                            <w:r>
                              <w:rPr>
                                <w:sz w:val="16"/>
                              </w:rPr>
                              <w:t>5 </w:t>
                            </w:r>
                            <w:r>
                              <w:rPr>
                                <w:spacing w:val="-2"/>
                                <w:sz w:val="16"/>
                              </w:rPr>
                              <w:t>(35,7%)</w:t>
                            </w:r>
                          </w:p>
                        </w:tc>
                        <w:tc>
                          <w:tcPr>
                            <w:tcW w:w="715" w:type="dxa"/>
                          </w:tcPr>
                          <w:p>
                            <w:pPr>
                              <w:pStyle w:val="TableParagraph"/>
                              <w:spacing w:line="182" w:lineRule="exact"/>
                              <w:ind w:left="125"/>
                              <w:rPr>
                                <w:b/>
                                <w:sz w:val="16"/>
                              </w:rPr>
                            </w:pPr>
                            <w:r>
                              <w:rPr>
                                <w:b/>
                                <w:spacing w:val="-10"/>
                                <w:sz w:val="16"/>
                              </w:rPr>
                              <w:t>9</w:t>
                            </w:r>
                          </w:p>
                          <w:p>
                            <w:pPr>
                              <w:pStyle w:val="TableParagraph"/>
                              <w:spacing w:line="168" w:lineRule="exact"/>
                              <w:ind w:left="125"/>
                              <w:rPr>
                                <w:b/>
                                <w:sz w:val="16"/>
                              </w:rPr>
                            </w:pPr>
                            <w:r>
                              <w:rPr>
                                <w:b/>
                                <w:spacing w:val="-2"/>
                                <w:sz w:val="16"/>
                              </w:rPr>
                              <w:t>(32,1%)</w:t>
                            </w:r>
                          </w:p>
                        </w:tc>
                      </w:tr>
                      <w:tr>
                        <w:trPr>
                          <w:trHeight w:val="365" w:hRule="atLeast"/>
                        </w:trPr>
                        <w:tc>
                          <w:tcPr>
                            <w:tcW w:w="905" w:type="dxa"/>
                          </w:tcPr>
                          <w:p>
                            <w:pPr>
                              <w:pStyle w:val="TableParagraph"/>
                              <w:spacing w:line="184" w:lineRule="exact"/>
                              <w:rPr>
                                <w:sz w:val="16"/>
                              </w:rPr>
                            </w:pPr>
                            <w:r>
                              <w:rPr>
                                <w:spacing w:val="-2"/>
                                <w:sz w:val="16"/>
                              </w:rPr>
                              <w:t>1982–</w:t>
                            </w:r>
                            <w:r>
                              <w:rPr>
                                <w:spacing w:val="-4"/>
                                <w:sz w:val="16"/>
                              </w:rPr>
                              <w:t>1988</w:t>
                            </w:r>
                          </w:p>
                        </w:tc>
                        <w:tc>
                          <w:tcPr>
                            <w:tcW w:w="700" w:type="dxa"/>
                          </w:tcPr>
                          <w:p>
                            <w:pPr>
                              <w:pStyle w:val="TableParagraph"/>
                              <w:spacing w:line="182" w:lineRule="exact"/>
                              <w:ind w:left="135"/>
                              <w:rPr>
                                <w:sz w:val="16"/>
                              </w:rPr>
                            </w:pPr>
                            <w:r>
                              <w:rPr>
                                <w:spacing w:val="-2"/>
                                <w:sz w:val="16"/>
                              </w:rPr>
                              <w:t>45–</w:t>
                            </w:r>
                            <w:r>
                              <w:rPr>
                                <w:spacing w:val="-5"/>
                                <w:sz w:val="16"/>
                              </w:rPr>
                              <w:t>50</w:t>
                            </w:r>
                          </w:p>
                          <w:p>
                            <w:pPr>
                              <w:pStyle w:val="TableParagraph"/>
                              <w:spacing w:line="164" w:lineRule="exact"/>
                              <w:ind w:left="135"/>
                              <w:rPr>
                                <w:sz w:val="16"/>
                              </w:rPr>
                            </w:pPr>
                            <w:r>
                              <w:rPr>
                                <w:spacing w:val="-2"/>
                                <w:sz w:val="16"/>
                              </w:rPr>
                              <w:t>tahun</w:t>
                            </w:r>
                          </w:p>
                        </w:tc>
                        <w:tc>
                          <w:tcPr>
                            <w:tcW w:w="860" w:type="dxa"/>
                          </w:tcPr>
                          <w:p>
                            <w:pPr>
                              <w:pStyle w:val="TableParagraph"/>
                              <w:spacing w:line="182" w:lineRule="exact"/>
                              <w:ind w:left="146"/>
                              <w:rPr>
                                <w:sz w:val="16"/>
                              </w:rPr>
                            </w:pPr>
                            <w:r>
                              <w:rPr>
                                <w:spacing w:val="-10"/>
                                <w:sz w:val="16"/>
                              </w:rPr>
                              <w:t>2</w:t>
                            </w:r>
                          </w:p>
                          <w:p>
                            <w:pPr>
                              <w:pStyle w:val="TableParagraph"/>
                              <w:spacing w:line="164" w:lineRule="exact"/>
                              <w:ind w:left="146"/>
                              <w:rPr>
                                <w:sz w:val="16"/>
                              </w:rPr>
                            </w:pPr>
                            <w:r>
                              <w:rPr>
                                <w:spacing w:val="-2"/>
                                <w:sz w:val="16"/>
                              </w:rPr>
                              <w:t>(14,3%)</w:t>
                            </w:r>
                          </w:p>
                        </w:tc>
                        <w:tc>
                          <w:tcPr>
                            <w:tcW w:w="1002" w:type="dxa"/>
                          </w:tcPr>
                          <w:p>
                            <w:pPr>
                              <w:pStyle w:val="TableParagraph"/>
                              <w:spacing w:line="184" w:lineRule="exact"/>
                              <w:ind w:left="0" w:right="92"/>
                              <w:jc w:val="center"/>
                              <w:rPr>
                                <w:sz w:val="16"/>
                              </w:rPr>
                            </w:pPr>
                            <w:r>
                              <w:rPr>
                                <w:sz w:val="16"/>
                              </w:rPr>
                              <w:t>3 </w:t>
                            </w:r>
                            <w:r>
                              <w:rPr>
                                <w:spacing w:val="-2"/>
                                <w:sz w:val="16"/>
                              </w:rPr>
                              <w:t>(21,4%)</w:t>
                            </w:r>
                          </w:p>
                        </w:tc>
                        <w:tc>
                          <w:tcPr>
                            <w:tcW w:w="715" w:type="dxa"/>
                          </w:tcPr>
                          <w:p>
                            <w:pPr>
                              <w:pStyle w:val="TableParagraph"/>
                              <w:spacing w:line="182" w:lineRule="exact"/>
                              <w:ind w:left="125"/>
                              <w:rPr>
                                <w:b/>
                                <w:sz w:val="16"/>
                              </w:rPr>
                            </w:pPr>
                            <w:r>
                              <w:rPr>
                                <w:b/>
                                <w:spacing w:val="-10"/>
                                <w:sz w:val="16"/>
                              </w:rPr>
                              <w:t>5</w:t>
                            </w:r>
                          </w:p>
                          <w:p>
                            <w:pPr>
                              <w:pStyle w:val="TableParagraph"/>
                              <w:spacing w:line="164" w:lineRule="exact"/>
                              <w:ind w:left="125"/>
                              <w:rPr>
                                <w:b/>
                                <w:sz w:val="16"/>
                              </w:rPr>
                            </w:pPr>
                            <w:r>
                              <w:rPr>
                                <w:b/>
                                <w:spacing w:val="-2"/>
                                <w:sz w:val="16"/>
                              </w:rPr>
                              <w:t>(17,9%)</w:t>
                            </w:r>
                          </w:p>
                        </w:tc>
                      </w:tr>
                      <w:tr>
                        <w:trPr>
                          <w:trHeight w:val="370" w:hRule="atLeast"/>
                        </w:trPr>
                        <w:tc>
                          <w:tcPr>
                            <w:tcW w:w="905" w:type="dxa"/>
                          </w:tcPr>
                          <w:p>
                            <w:pPr>
                              <w:pStyle w:val="TableParagraph"/>
                              <w:spacing w:line="179" w:lineRule="exact"/>
                              <w:rPr>
                                <w:sz w:val="16"/>
                              </w:rPr>
                            </w:pPr>
                            <w:r>
                              <w:rPr>
                                <w:spacing w:val="-2"/>
                                <w:sz w:val="16"/>
                              </w:rPr>
                              <w:t>1989–</w:t>
                            </w:r>
                            <w:r>
                              <w:rPr>
                                <w:spacing w:val="-4"/>
                                <w:sz w:val="16"/>
                              </w:rPr>
                              <w:t>1995</w:t>
                            </w:r>
                          </w:p>
                        </w:tc>
                        <w:tc>
                          <w:tcPr>
                            <w:tcW w:w="700" w:type="dxa"/>
                          </w:tcPr>
                          <w:p>
                            <w:pPr>
                              <w:pStyle w:val="TableParagraph"/>
                              <w:spacing w:line="179" w:lineRule="exact"/>
                              <w:ind w:left="135"/>
                              <w:rPr>
                                <w:sz w:val="16"/>
                              </w:rPr>
                            </w:pPr>
                            <w:r>
                              <w:rPr>
                                <w:spacing w:val="-2"/>
                                <w:sz w:val="16"/>
                              </w:rPr>
                              <w:t>51–</w:t>
                            </w:r>
                            <w:r>
                              <w:rPr>
                                <w:spacing w:val="-5"/>
                                <w:sz w:val="16"/>
                              </w:rPr>
                              <w:t>57</w:t>
                            </w:r>
                          </w:p>
                          <w:p>
                            <w:pPr>
                              <w:pStyle w:val="TableParagraph"/>
                              <w:spacing w:line="165" w:lineRule="exact" w:before="6"/>
                              <w:ind w:left="135"/>
                              <w:rPr>
                                <w:sz w:val="16"/>
                              </w:rPr>
                            </w:pPr>
                            <w:r>
                              <w:rPr>
                                <w:spacing w:val="-2"/>
                                <w:sz w:val="16"/>
                              </w:rPr>
                              <w:t>tahun</w:t>
                            </w:r>
                          </w:p>
                        </w:tc>
                        <w:tc>
                          <w:tcPr>
                            <w:tcW w:w="860" w:type="dxa"/>
                          </w:tcPr>
                          <w:p>
                            <w:pPr>
                              <w:pStyle w:val="TableParagraph"/>
                              <w:spacing w:line="179" w:lineRule="exact"/>
                              <w:ind w:left="146"/>
                              <w:rPr>
                                <w:sz w:val="16"/>
                              </w:rPr>
                            </w:pPr>
                            <w:r>
                              <w:rPr>
                                <w:spacing w:val="-10"/>
                                <w:sz w:val="16"/>
                              </w:rPr>
                              <w:t>2</w:t>
                            </w:r>
                          </w:p>
                          <w:p>
                            <w:pPr>
                              <w:pStyle w:val="TableParagraph"/>
                              <w:spacing w:line="165" w:lineRule="exact" w:before="6"/>
                              <w:ind w:left="146"/>
                              <w:rPr>
                                <w:sz w:val="16"/>
                              </w:rPr>
                            </w:pPr>
                            <w:r>
                              <w:rPr>
                                <w:spacing w:val="-2"/>
                                <w:sz w:val="16"/>
                              </w:rPr>
                              <w:t>(14,3%)</w:t>
                            </w:r>
                          </w:p>
                        </w:tc>
                        <w:tc>
                          <w:tcPr>
                            <w:tcW w:w="1002" w:type="dxa"/>
                          </w:tcPr>
                          <w:p>
                            <w:pPr>
                              <w:pStyle w:val="TableParagraph"/>
                              <w:spacing w:line="179" w:lineRule="exact"/>
                              <w:ind w:left="0" w:right="92"/>
                              <w:jc w:val="center"/>
                              <w:rPr>
                                <w:sz w:val="16"/>
                              </w:rPr>
                            </w:pPr>
                            <w:r>
                              <w:rPr>
                                <w:sz w:val="16"/>
                              </w:rPr>
                              <w:t>2 </w:t>
                            </w:r>
                            <w:r>
                              <w:rPr>
                                <w:spacing w:val="-2"/>
                                <w:sz w:val="16"/>
                              </w:rPr>
                              <w:t>(14,3%)</w:t>
                            </w:r>
                          </w:p>
                        </w:tc>
                        <w:tc>
                          <w:tcPr>
                            <w:tcW w:w="715" w:type="dxa"/>
                          </w:tcPr>
                          <w:p>
                            <w:pPr>
                              <w:pStyle w:val="TableParagraph"/>
                              <w:spacing w:line="179" w:lineRule="exact"/>
                              <w:ind w:left="125"/>
                              <w:rPr>
                                <w:b/>
                                <w:sz w:val="16"/>
                              </w:rPr>
                            </w:pPr>
                            <w:r>
                              <w:rPr>
                                <w:b/>
                                <w:spacing w:val="-10"/>
                                <w:sz w:val="16"/>
                              </w:rPr>
                              <w:t>4</w:t>
                            </w:r>
                          </w:p>
                          <w:p>
                            <w:pPr>
                              <w:pStyle w:val="TableParagraph"/>
                              <w:spacing w:line="165" w:lineRule="exact" w:before="6"/>
                              <w:ind w:left="125"/>
                              <w:rPr>
                                <w:b/>
                                <w:sz w:val="16"/>
                              </w:rPr>
                            </w:pPr>
                            <w:r>
                              <w:rPr>
                                <w:b/>
                                <w:spacing w:val="-2"/>
                                <w:sz w:val="16"/>
                              </w:rPr>
                              <w:t>(14,3%)</w:t>
                            </w:r>
                          </w:p>
                        </w:tc>
                      </w:tr>
                      <w:tr>
                        <w:trPr>
                          <w:trHeight w:val="368" w:hRule="atLeast"/>
                        </w:trPr>
                        <w:tc>
                          <w:tcPr>
                            <w:tcW w:w="905" w:type="dxa"/>
                          </w:tcPr>
                          <w:p>
                            <w:pPr>
                              <w:pStyle w:val="TableParagraph"/>
                              <w:spacing w:line="179" w:lineRule="exact"/>
                              <w:rPr>
                                <w:sz w:val="16"/>
                              </w:rPr>
                            </w:pPr>
                            <w:r>
                              <w:rPr>
                                <w:spacing w:val="-2"/>
                                <w:sz w:val="16"/>
                              </w:rPr>
                              <w:t>Total</w:t>
                            </w:r>
                          </w:p>
                        </w:tc>
                        <w:tc>
                          <w:tcPr>
                            <w:tcW w:w="700" w:type="dxa"/>
                          </w:tcPr>
                          <w:p>
                            <w:pPr>
                              <w:pStyle w:val="TableParagraph"/>
                              <w:spacing w:line="179" w:lineRule="exact"/>
                              <w:ind w:left="135"/>
                              <w:rPr>
                                <w:sz w:val="16"/>
                              </w:rPr>
                            </w:pPr>
                            <w:r>
                              <w:rPr>
                                <w:spacing w:val="-5"/>
                                <w:sz w:val="16"/>
                              </w:rPr>
                              <w:t>14</w:t>
                            </w:r>
                          </w:p>
                          <w:p>
                            <w:pPr>
                              <w:pStyle w:val="TableParagraph"/>
                              <w:tabs>
                                <w:tab w:pos="845" w:val="left" w:leader="none"/>
                              </w:tabs>
                              <w:spacing w:line="164" w:lineRule="exact" w:before="6"/>
                              <w:ind w:left="-986" w:right="-159"/>
                              <w:rPr>
                                <w:sz w:val="16"/>
                              </w:rPr>
                            </w:pPr>
                            <w:r>
                              <w:rPr>
                                <w:spacing w:val="64"/>
                                <w:w w:val="150"/>
                                <w:sz w:val="16"/>
                                <w:u w:val="single" w:color="7E7E7E"/>
                              </w:rPr>
                              <w:t>         </w:t>
                            </w:r>
                            <w:r>
                              <w:rPr>
                                <w:spacing w:val="-2"/>
                                <w:sz w:val="16"/>
                                <w:u w:val="single" w:color="7E7E7E"/>
                              </w:rPr>
                              <w:t>(100%)</w:t>
                            </w:r>
                            <w:r>
                              <w:rPr>
                                <w:sz w:val="16"/>
                                <w:u w:val="single" w:color="7E7E7E"/>
                              </w:rPr>
                              <w:tab/>
                            </w:r>
                          </w:p>
                        </w:tc>
                        <w:tc>
                          <w:tcPr>
                            <w:tcW w:w="860" w:type="dxa"/>
                          </w:tcPr>
                          <w:p>
                            <w:pPr>
                              <w:pStyle w:val="TableParagraph"/>
                              <w:spacing w:line="179" w:lineRule="exact"/>
                              <w:ind w:left="146"/>
                              <w:rPr>
                                <w:sz w:val="16"/>
                              </w:rPr>
                            </w:pPr>
                            <w:r>
                              <w:rPr>
                                <w:spacing w:val="-5"/>
                                <w:sz w:val="16"/>
                              </w:rPr>
                              <w:t>14</w:t>
                            </w:r>
                          </w:p>
                          <w:p>
                            <w:pPr>
                              <w:pStyle w:val="TableParagraph"/>
                              <w:tabs>
                                <w:tab w:pos="1987" w:val="left" w:leader="none"/>
                              </w:tabs>
                              <w:spacing w:line="164" w:lineRule="exact" w:before="6"/>
                              <w:ind w:left="146" w:right="-1138"/>
                              <w:rPr>
                                <w:sz w:val="16"/>
                              </w:rPr>
                            </w:pPr>
                            <w:r>
                              <w:rPr>
                                <w:spacing w:val="-2"/>
                                <w:sz w:val="16"/>
                                <w:u w:val="single" w:color="7E7E7E"/>
                              </w:rPr>
                              <w:t>(100%)</w:t>
                            </w:r>
                            <w:r>
                              <w:rPr>
                                <w:sz w:val="16"/>
                                <w:u w:val="single" w:color="7E7E7E"/>
                              </w:rPr>
                              <w:tab/>
                            </w:r>
                          </w:p>
                        </w:tc>
                        <w:tc>
                          <w:tcPr>
                            <w:tcW w:w="1002" w:type="dxa"/>
                          </w:tcPr>
                          <w:p>
                            <w:pPr>
                              <w:pStyle w:val="TableParagraph"/>
                              <w:spacing w:line="179" w:lineRule="exact"/>
                              <w:ind w:left="40" w:right="92"/>
                              <w:jc w:val="center"/>
                              <w:rPr>
                                <w:sz w:val="16"/>
                              </w:rPr>
                            </w:pPr>
                            <w:r>
                              <w:rPr>
                                <w:sz w:val="16"/>
                              </w:rPr>
                              <w:t>14 </w:t>
                            </w:r>
                            <w:r>
                              <w:rPr>
                                <w:spacing w:val="-2"/>
                                <w:sz w:val="16"/>
                              </w:rPr>
                              <w:t>(100%)</w:t>
                            </w:r>
                          </w:p>
                        </w:tc>
                        <w:tc>
                          <w:tcPr>
                            <w:tcW w:w="715" w:type="dxa"/>
                          </w:tcPr>
                          <w:p>
                            <w:pPr>
                              <w:pStyle w:val="TableParagraph"/>
                              <w:spacing w:line="179" w:lineRule="exact"/>
                              <w:ind w:left="125"/>
                              <w:rPr>
                                <w:b/>
                                <w:sz w:val="16"/>
                              </w:rPr>
                            </w:pPr>
                            <w:r>
                              <w:rPr>
                                <w:b/>
                                <w:spacing w:val="-5"/>
                                <w:sz w:val="16"/>
                              </w:rPr>
                              <w:t>28</w:t>
                            </w:r>
                          </w:p>
                          <w:p>
                            <w:pPr>
                              <w:pStyle w:val="TableParagraph"/>
                              <w:spacing w:line="164" w:lineRule="exact" w:before="6"/>
                              <w:ind w:left="125" w:right="-116"/>
                              <w:rPr>
                                <w:b/>
                                <w:sz w:val="16"/>
                              </w:rPr>
                            </w:pPr>
                            <w:r>
                              <w:rPr>
                                <w:b/>
                                <w:spacing w:val="-2"/>
                                <w:sz w:val="16"/>
                                <w:u w:val="single" w:color="7E7E7E"/>
                              </w:rPr>
                              <w:t>(100%)</w:t>
                            </w:r>
                            <w:r>
                              <w:rPr>
                                <w:b/>
                                <w:spacing w:val="40"/>
                                <w:sz w:val="16"/>
                                <w:u w:val="single" w:color="7E7E7E"/>
                              </w:rPr>
                              <w:t> </w:t>
                            </w:r>
                          </w:p>
                        </w:tc>
                      </w:tr>
                    </w:tbl>
                    <w:p>
                      <w:pPr>
                        <w:pStyle w:val="BodyText"/>
                        <w:jc w:val="left"/>
                      </w:pPr>
                    </w:p>
                  </w:txbxContent>
                </v:textbox>
                <w10:wrap type="none"/>
              </v:shape>
            </w:pict>
          </mc:Fallback>
        </mc:AlternateContent>
      </w:r>
      <w:r>
        <w:rPr>
          <w:spacing w:val="-1"/>
          <w:u w:val="single" w:color="7E7E7E"/>
        </w:rPr>
        <w:t> </w:t>
      </w:r>
      <w:r>
        <w:rPr>
          <w:u w:val="single" w:color="7E7E7E"/>
        </w:rPr>
        <w:t>Tabel</w:t>
      </w:r>
      <w:r>
        <w:rPr>
          <w:spacing w:val="2"/>
          <w:u w:val="single" w:color="7E7E7E"/>
        </w:rPr>
        <w:t> </w:t>
      </w:r>
      <w:r>
        <w:rPr>
          <w:u w:val="single" w:color="7E7E7E"/>
        </w:rPr>
        <w:t>1. 4</w:t>
      </w:r>
      <w:r>
        <w:rPr>
          <w:spacing w:val="-1"/>
          <w:u w:val="single" w:color="7E7E7E"/>
        </w:rPr>
        <w:t> </w:t>
      </w:r>
      <w:r>
        <w:rPr>
          <w:u w:val="single" w:color="7E7E7E"/>
        </w:rPr>
        <w:t>Lama Menempati</w:t>
      </w:r>
      <w:r>
        <w:rPr>
          <w:spacing w:val="2"/>
          <w:u w:val="single" w:color="7E7E7E"/>
        </w:rPr>
        <w:t> </w:t>
      </w:r>
      <w:r>
        <w:rPr>
          <w:u w:val="single" w:color="7E7E7E"/>
        </w:rPr>
        <w:t>Rumah</w:t>
      </w:r>
      <w:r>
        <w:rPr>
          <w:spacing w:val="-2"/>
          <w:u w:val="single" w:color="7E7E7E"/>
        </w:rPr>
        <w:t> Responden</w:t>
      </w:r>
      <w:r>
        <w:rPr>
          <w:spacing w:val="40"/>
          <w:u w:val="single" w:color="7E7E7E"/>
        </w:rPr>
        <w:t>  </w:t>
      </w:r>
    </w:p>
    <w:p>
      <w:pPr>
        <w:pStyle w:val="Heading2"/>
        <w:spacing w:after="0"/>
        <w:jc w:val="both"/>
        <w:sectPr>
          <w:pgSz w:w="11910" w:h="16830"/>
          <w:pgMar w:header="442" w:footer="729" w:top="1300" w:bottom="920" w:left="1133" w:right="850"/>
          <w:cols w:num="2" w:equalWidth="0">
            <w:col w:w="4691" w:space="313"/>
            <w:col w:w="4923"/>
          </w:cols>
        </w:sectPr>
      </w:pPr>
    </w:p>
    <w:p>
      <w:pPr>
        <w:pStyle w:val="BodyText"/>
        <w:spacing w:before="81"/>
        <w:ind w:left="1048" w:right="45" w:hanging="721"/>
      </w:pPr>
      <w:r>
        <w:rPr/>
        <w:t>Sumber: Data primer yang telah diolah tahun 2026 Berdasarkan</w:t>
      </w:r>
      <w:r>
        <w:rPr>
          <w:spacing w:val="-12"/>
        </w:rPr>
        <w:t> </w:t>
      </w:r>
      <w:r>
        <w:rPr/>
        <w:t>data</w:t>
      </w:r>
      <w:r>
        <w:rPr>
          <w:spacing w:val="-11"/>
        </w:rPr>
        <w:t> </w:t>
      </w:r>
      <w:r>
        <w:rPr/>
        <w:t>kuesioner,</w:t>
      </w:r>
      <w:r>
        <w:rPr>
          <w:spacing w:val="-12"/>
        </w:rPr>
        <w:t> </w:t>
      </w:r>
      <w:r>
        <w:rPr/>
        <w:t>diketahui</w:t>
      </w:r>
      <w:r>
        <w:rPr>
          <w:spacing w:val="-8"/>
        </w:rPr>
        <w:t> </w:t>
      </w:r>
      <w:r>
        <w:rPr>
          <w:spacing w:val="-4"/>
        </w:rPr>
        <w:t>bahwa</w:t>
      </w:r>
    </w:p>
    <w:p>
      <w:pPr>
        <w:pStyle w:val="BodyText"/>
        <w:ind w:left="328" w:right="30"/>
      </w:pPr>
      <w:r>
        <w:rPr/>
        <w:t>sebagian besar responden telah menempati rumah dalam jangka waktu yang cukup lama. Beberapa responden</w:t>
      </w:r>
      <w:r>
        <w:rPr>
          <w:spacing w:val="-13"/>
        </w:rPr>
        <w:t> </w:t>
      </w:r>
      <w:r>
        <w:rPr/>
        <w:t>menyebutkan</w:t>
      </w:r>
      <w:r>
        <w:rPr>
          <w:spacing w:val="-12"/>
        </w:rPr>
        <w:t> </w:t>
      </w:r>
      <w:r>
        <w:rPr/>
        <w:t>sudah</w:t>
      </w:r>
      <w:r>
        <w:rPr>
          <w:spacing w:val="-13"/>
        </w:rPr>
        <w:t> </w:t>
      </w:r>
      <w:r>
        <w:rPr/>
        <w:t>tinggal</w:t>
      </w:r>
      <w:r>
        <w:rPr>
          <w:spacing w:val="-12"/>
        </w:rPr>
        <w:t> </w:t>
      </w:r>
      <w:r>
        <w:rPr/>
        <w:t>sejak</w:t>
      </w:r>
      <w:r>
        <w:rPr>
          <w:spacing w:val="-13"/>
        </w:rPr>
        <w:t> </w:t>
      </w:r>
      <w:r>
        <w:rPr/>
        <w:t>33</w:t>
      </w:r>
      <w:r>
        <w:rPr>
          <w:spacing w:val="-12"/>
        </w:rPr>
        <w:t> </w:t>
      </w:r>
      <w:r>
        <w:rPr/>
        <w:t>hinnga 57 tahun.</w:t>
      </w:r>
    </w:p>
    <w:p>
      <w:pPr>
        <w:pStyle w:val="BodyText"/>
        <w:spacing w:before="121"/>
        <w:jc w:val="left"/>
      </w:pPr>
    </w:p>
    <w:p>
      <w:pPr>
        <w:pStyle w:val="ListParagraph"/>
        <w:numPr>
          <w:ilvl w:val="0"/>
          <w:numId w:val="1"/>
        </w:numPr>
        <w:tabs>
          <w:tab w:pos="328" w:val="left" w:leader="none"/>
        </w:tabs>
        <w:spacing w:line="240" w:lineRule="auto" w:before="0" w:after="0"/>
        <w:ind w:left="328" w:right="69" w:hanging="200"/>
        <w:jc w:val="both"/>
        <w:rPr>
          <w:b/>
          <w:sz w:val="20"/>
        </w:rPr>
      </w:pPr>
      <w:r>
        <w:rPr>
          <w:b/>
          <w:sz w:val="20"/>
        </w:rPr>
        <w:t>Persepsi</w:t>
      </w:r>
      <w:r>
        <w:rPr>
          <w:b/>
          <w:spacing w:val="-4"/>
          <w:sz w:val="20"/>
        </w:rPr>
        <w:t> </w:t>
      </w:r>
      <w:r>
        <w:rPr>
          <w:b/>
          <w:sz w:val="20"/>
        </w:rPr>
        <w:t>Masyarakat</w:t>
      </w:r>
      <w:r>
        <w:rPr>
          <w:b/>
          <w:spacing w:val="-3"/>
          <w:sz w:val="20"/>
        </w:rPr>
        <w:t> </w:t>
      </w:r>
      <w:r>
        <w:rPr>
          <w:b/>
          <w:sz w:val="20"/>
        </w:rPr>
        <w:t>Penerima</w:t>
      </w:r>
      <w:r>
        <w:rPr>
          <w:b/>
          <w:spacing w:val="-13"/>
          <w:sz w:val="20"/>
        </w:rPr>
        <w:t> </w:t>
      </w:r>
      <w:r>
        <w:rPr>
          <w:b/>
          <w:sz w:val="20"/>
        </w:rPr>
        <w:t>Manfaat</w:t>
      </w:r>
      <w:r>
        <w:rPr>
          <w:b/>
          <w:spacing w:val="-2"/>
          <w:sz w:val="20"/>
        </w:rPr>
        <w:t> </w:t>
      </w:r>
      <w:r>
        <w:rPr>
          <w:b/>
          <w:sz w:val="20"/>
        </w:rPr>
        <w:t>Program di</w:t>
      </w:r>
      <w:r>
        <w:rPr>
          <w:b/>
          <w:spacing w:val="-2"/>
          <w:sz w:val="20"/>
        </w:rPr>
        <w:t> </w:t>
      </w:r>
      <w:r>
        <w:rPr>
          <w:b/>
          <w:sz w:val="20"/>
        </w:rPr>
        <w:t>Kelurahan</w:t>
      </w:r>
      <w:r>
        <w:rPr>
          <w:b/>
          <w:spacing w:val="-13"/>
          <w:sz w:val="20"/>
        </w:rPr>
        <w:t> </w:t>
      </w:r>
      <w:r>
        <w:rPr>
          <w:b/>
          <w:sz w:val="20"/>
        </w:rPr>
        <w:t>Genteng</w:t>
      </w:r>
      <w:r>
        <w:rPr>
          <w:b/>
          <w:spacing w:val="-3"/>
          <w:sz w:val="20"/>
        </w:rPr>
        <w:t> </w:t>
      </w:r>
      <w:r>
        <w:rPr>
          <w:b/>
          <w:sz w:val="20"/>
        </w:rPr>
        <w:t>dan</w:t>
      </w:r>
      <w:r>
        <w:rPr>
          <w:b/>
          <w:spacing w:val="-6"/>
          <w:sz w:val="20"/>
        </w:rPr>
        <w:t> </w:t>
      </w:r>
      <w:r>
        <w:rPr>
          <w:b/>
          <w:sz w:val="20"/>
        </w:rPr>
        <w:t>Kelurahan</w:t>
      </w:r>
      <w:r>
        <w:rPr>
          <w:b/>
          <w:spacing w:val="-6"/>
          <w:sz w:val="20"/>
        </w:rPr>
        <w:t> </w:t>
      </w:r>
      <w:r>
        <w:rPr>
          <w:b/>
          <w:sz w:val="20"/>
        </w:rPr>
        <w:t>Tanah</w:t>
      </w:r>
      <w:r>
        <w:rPr>
          <w:b/>
          <w:spacing w:val="-6"/>
          <w:sz w:val="20"/>
        </w:rPr>
        <w:t> </w:t>
      </w:r>
      <w:r>
        <w:rPr>
          <w:b/>
          <w:sz w:val="20"/>
        </w:rPr>
        <w:t>Kali </w:t>
      </w:r>
      <w:r>
        <w:rPr>
          <w:b/>
          <w:spacing w:val="-2"/>
          <w:sz w:val="20"/>
        </w:rPr>
        <w:t>Kedinding</w:t>
      </w:r>
    </w:p>
    <w:p>
      <w:pPr>
        <w:spacing w:before="121"/>
        <w:ind w:left="77" w:right="0" w:firstLine="0"/>
        <w:jc w:val="left"/>
        <w:rPr>
          <w:b/>
          <w:sz w:val="20"/>
        </w:rPr>
      </w:pPr>
      <w:r>
        <w:rPr>
          <w:b/>
          <w:sz w:val="20"/>
        </w:rPr>
        <w:t>Tabel 1.</w:t>
      </w:r>
      <w:r>
        <w:rPr>
          <w:b/>
          <w:spacing w:val="-4"/>
          <w:sz w:val="20"/>
        </w:rPr>
        <w:t> </w:t>
      </w:r>
      <w:r>
        <w:rPr>
          <w:b/>
          <w:sz w:val="20"/>
        </w:rPr>
        <w:t>5</w:t>
      </w:r>
      <w:r>
        <w:rPr>
          <w:b/>
          <w:spacing w:val="-3"/>
          <w:sz w:val="20"/>
        </w:rPr>
        <w:t> </w:t>
      </w:r>
      <w:r>
        <w:rPr>
          <w:b/>
          <w:sz w:val="20"/>
        </w:rPr>
        <w:t>Persepsi Masyarakat di Kelurahan</w:t>
      </w:r>
      <w:r>
        <w:rPr>
          <w:b/>
          <w:spacing w:val="-5"/>
          <w:sz w:val="20"/>
        </w:rPr>
        <w:t> </w:t>
      </w:r>
      <w:r>
        <w:rPr>
          <w:b/>
          <w:spacing w:val="-4"/>
          <w:sz w:val="20"/>
        </w:rPr>
        <w:t>Tanah</w:t>
      </w:r>
    </w:p>
    <w:p>
      <w:pPr>
        <w:tabs>
          <w:tab w:pos="1659" w:val="left" w:leader="none"/>
          <w:tab w:pos="4681" w:val="left" w:leader="none"/>
        </w:tabs>
        <w:spacing w:before="0"/>
        <w:ind w:left="277" w:right="0" w:firstLine="0"/>
        <w:jc w:val="both"/>
        <w:rPr>
          <w:b/>
          <w:sz w:val="20"/>
        </w:rPr>
      </w:pPr>
      <w:r>
        <w:rPr>
          <w:b/>
          <w:sz w:val="20"/>
        </w:rPr>
        <w:drawing>
          <wp:anchor distT="0" distB="0" distL="0" distR="0" allowOverlap="1" layoutInCell="1" locked="0" behindDoc="1" simplePos="0" relativeHeight="487187456">
            <wp:simplePos x="0" y="0"/>
            <wp:positionH relativeFrom="page">
              <wp:posOffset>1860189</wp:posOffset>
            </wp:positionH>
            <wp:positionV relativeFrom="paragraph">
              <wp:posOffset>365025</wp:posOffset>
            </wp:positionV>
            <wp:extent cx="3841835" cy="468795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9" cstate="print"/>
                    <a:stretch>
                      <a:fillRect/>
                    </a:stretch>
                  </pic:blipFill>
                  <pic:spPr>
                    <a:xfrm>
                      <a:off x="0" y="0"/>
                      <a:ext cx="3841835" cy="4687953"/>
                    </a:xfrm>
                    <a:prstGeom prst="rect">
                      <a:avLst/>
                    </a:prstGeom>
                  </pic:spPr>
                </pic:pic>
              </a:graphicData>
            </a:graphic>
          </wp:anchor>
        </w:drawing>
      </w:r>
      <w:r>
        <w:rPr>
          <w:b/>
          <w:sz w:val="20"/>
          <w:u w:val="single" w:color="7E7E7E"/>
        </w:rPr>
        <w:tab/>
        <w:t>Kali</w:t>
      </w:r>
      <w:r>
        <w:rPr>
          <w:b/>
          <w:spacing w:val="2"/>
          <w:sz w:val="20"/>
          <w:u w:val="single" w:color="7E7E7E"/>
        </w:rPr>
        <w:t> </w:t>
      </w:r>
      <w:r>
        <w:rPr>
          <w:b/>
          <w:spacing w:val="-2"/>
          <w:sz w:val="20"/>
          <w:u w:val="single" w:color="7E7E7E"/>
        </w:rPr>
        <w:t>Kedinding</w:t>
      </w:r>
      <w:r>
        <w:rPr>
          <w:b/>
          <w:sz w:val="20"/>
          <w:u w:val="single" w:color="7E7E7E"/>
        </w:rPr>
        <w:tab/>
      </w:r>
    </w:p>
    <w:tbl>
      <w:tblPr>
        <w:tblW w:w="0" w:type="auto"/>
        <w:jc w:val="left"/>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66"/>
        <w:gridCol w:w="1344"/>
      </w:tblGrid>
      <w:tr>
        <w:trPr>
          <w:trHeight w:val="218" w:hRule="atLeast"/>
        </w:trPr>
        <w:tc>
          <w:tcPr>
            <w:tcW w:w="3066" w:type="dxa"/>
            <w:tcBorders>
              <w:bottom w:val="single" w:sz="4" w:space="0" w:color="7E7E7E"/>
            </w:tcBorders>
          </w:tcPr>
          <w:p>
            <w:pPr>
              <w:pStyle w:val="TableParagraph"/>
              <w:spacing w:line="198" w:lineRule="exact"/>
              <w:ind w:left="125"/>
              <w:rPr>
                <w:b/>
                <w:sz w:val="20"/>
              </w:rPr>
            </w:pPr>
            <w:r>
              <w:rPr>
                <w:b/>
                <w:spacing w:val="-2"/>
                <w:sz w:val="20"/>
              </w:rPr>
              <w:t>Persepsi</w:t>
            </w:r>
          </w:p>
        </w:tc>
        <w:tc>
          <w:tcPr>
            <w:tcW w:w="1344" w:type="dxa"/>
            <w:tcBorders>
              <w:bottom w:val="single" w:sz="4" w:space="0" w:color="7E7E7E"/>
            </w:tcBorders>
          </w:tcPr>
          <w:p>
            <w:pPr>
              <w:pStyle w:val="TableParagraph"/>
              <w:spacing w:line="198" w:lineRule="exact"/>
              <w:ind w:left="78" w:right="49"/>
              <w:jc w:val="center"/>
              <w:rPr>
                <w:b/>
                <w:sz w:val="20"/>
              </w:rPr>
            </w:pPr>
            <w:r>
              <w:rPr>
                <w:b/>
                <w:spacing w:val="-2"/>
                <w:sz w:val="20"/>
              </w:rPr>
              <w:t>Genteng</w:t>
            </w:r>
          </w:p>
        </w:tc>
      </w:tr>
      <w:tr>
        <w:trPr>
          <w:trHeight w:val="237" w:hRule="atLeast"/>
        </w:trPr>
        <w:tc>
          <w:tcPr>
            <w:tcW w:w="3066" w:type="dxa"/>
            <w:tcBorders>
              <w:top w:val="single" w:sz="4" w:space="0" w:color="7E7E7E"/>
            </w:tcBorders>
          </w:tcPr>
          <w:p>
            <w:pPr>
              <w:pStyle w:val="TableParagraph"/>
              <w:spacing w:line="214" w:lineRule="exact" w:before="3"/>
              <w:ind w:left="125"/>
              <w:rPr>
                <w:sz w:val="20"/>
              </w:rPr>
            </w:pPr>
            <w:r>
              <w:rPr>
                <w:sz w:val="20"/>
              </w:rPr>
              <w:t>Pelaksanaan</w:t>
            </w:r>
            <w:r>
              <w:rPr>
                <w:spacing w:val="7"/>
                <w:sz w:val="20"/>
              </w:rPr>
              <w:t> </w:t>
            </w:r>
            <w:r>
              <w:rPr>
                <w:spacing w:val="-2"/>
                <w:sz w:val="20"/>
              </w:rPr>
              <w:t>Program</w:t>
            </w:r>
          </w:p>
        </w:tc>
        <w:tc>
          <w:tcPr>
            <w:tcW w:w="1344" w:type="dxa"/>
            <w:tcBorders>
              <w:top w:val="single" w:sz="4" w:space="0" w:color="7E7E7E"/>
            </w:tcBorders>
          </w:tcPr>
          <w:p>
            <w:pPr>
              <w:pStyle w:val="TableParagraph"/>
              <w:spacing w:line="214" w:lineRule="exact" w:before="3"/>
              <w:ind w:left="29" w:right="78"/>
              <w:jc w:val="center"/>
              <w:rPr>
                <w:b/>
                <w:sz w:val="20"/>
              </w:rPr>
            </w:pPr>
            <w:r>
              <w:rPr>
                <w:b/>
                <w:spacing w:val="-2"/>
                <w:sz w:val="20"/>
              </w:rPr>
              <w:t>87,14%</w:t>
            </w:r>
          </w:p>
        </w:tc>
      </w:tr>
      <w:tr>
        <w:trPr>
          <w:trHeight w:val="230" w:hRule="atLeast"/>
        </w:trPr>
        <w:tc>
          <w:tcPr>
            <w:tcW w:w="3066" w:type="dxa"/>
          </w:tcPr>
          <w:p>
            <w:pPr>
              <w:pStyle w:val="TableParagraph"/>
              <w:spacing w:line="210" w:lineRule="exact"/>
              <w:ind w:left="125"/>
              <w:rPr>
                <w:sz w:val="20"/>
              </w:rPr>
            </w:pPr>
            <w:r>
              <w:rPr>
                <w:sz w:val="20"/>
              </w:rPr>
              <w:t>Perubahan Kondisi</w:t>
            </w:r>
            <w:r>
              <w:rPr>
                <w:spacing w:val="4"/>
                <w:sz w:val="20"/>
              </w:rPr>
              <w:t> </w:t>
            </w:r>
            <w:r>
              <w:rPr>
                <w:sz w:val="20"/>
              </w:rPr>
              <w:t>Fisik</w:t>
            </w:r>
            <w:r>
              <w:rPr>
                <w:spacing w:val="1"/>
                <w:sz w:val="20"/>
              </w:rPr>
              <w:t> </w:t>
            </w:r>
            <w:r>
              <w:rPr>
                <w:spacing w:val="-4"/>
                <w:sz w:val="20"/>
              </w:rPr>
              <w:t>Rumah</w:t>
            </w:r>
          </w:p>
        </w:tc>
        <w:tc>
          <w:tcPr>
            <w:tcW w:w="1344" w:type="dxa"/>
          </w:tcPr>
          <w:p>
            <w:pPr>
              <w:pStyle w:val="TableParagraph"/>
              <w:spacing w:line="210" w:lineRule="exact"/>
              <w:ind w:left="29" w:right="78"/>
              <w:jc w:val="center"/>
              <w:rPr>
                <w:b/>
                <w:sz w:val="20"/>
              </w:rPr>
            </w:pPr>
            <w:r>
              <w:rPr>
                <w:b/>
                <w:spacing w:val="-2"/>
                <w:sz w:val="20"/>
              </w:rPr>
              <w:t>80,00%</w:t>
            </w:r>
          </w:p>
        </w:tc>
      </w:tr>
      <w:tr>
        <w:trPr>
          <w:trHeight w:val="230" w:hRule="atLeast"/>
        </w:trPr>
        <w:tc>
          <w:tcPr>
            <w:tcW w:w="3066" w:type="dxa"/>
          </w:tcPr>
          <w:p>
            <w:pPr>
              <w:pStyle w:val="TableParagraph"/>
              <w:spacing w:line="210" w:lineRule="exact"/>
              <w:ind w:left="125"/>
              <w:rPr>
                <w:sz w:val="20"/>
              </w:rPr>
            </w:pPr>
            <w:r>
              <w:rPr>
                <w:sz w:val="20"/>
              </w:rPr>
              <w:t>Kenyamanan</w:t>
            </w:r>
            <w:r>
              <w:rPr>
                <w:spacing w:val="2"/>
                <w:sz w:val="20"/>
              </w:rPr>
              <w:t> </w:t>
            </w:r>
            <w:r>
              <w:rPr>
                <w:sz w:val="20"/>
              </w:rPr>
              <w:t>dan</w:t>
            </w:r>
            <w:r>
              <w:rPr>
                <w:spacing w:val="2"/>
                <w:sz w:val="20"/>
              </w:rPr>
              <w:t> </w:t>
            </w:r>
            <w:r>
              <w:rPr>
                <w:spacing w:val="-2"/>
                <w:sz w:val="20"/>
              </w:rPr>
              <w:t>Keamanan</w:t>
            </w:r>
          </w:p>
        </w:tc>
        <w:tc>
          <w:tcPr>
            <w:tcW w:w="1344" w:type="dxa"/>
          </w:tcPr>
          <w:p>
            <w:pPr>
              <w:pStyle w:val="TableParagraph"/>
              <w:spacing w:line="210" w:lineRule="exact"/>
              <w:ind w:left="29" w:right="78"/>
              <w:jc w:val="center"/>
              <w:rPr>
                <w:b/>
                <w:sz w:val="20"/>
              </w:rPr>
            </w:pPr>
            <w:r>
              <w:rPr>
                <w:b/>
                <w:spacing w:val="-2"/>
                <w:sz w:val="20"/>
              </w:rPr>
              <w:t>85,71%</w:t>
            </w:r>
          </w:p>
        </w:tc>
      </w:tr>
      <w:tr>
        <w:trPr>
          <w:trHeight w:val="230" w:hRule="atLeast"/>
        </w:trPr>
        <w:tc>
          <w:tcPr>
            <w:tcW w:w="3066" w:type="dxa"/>
          </w:tcPr>
          <w:p>
            <w:pPr>
              <w:pStyle w:val="TableParagraph"/>
              <w:spacing w:line="210" w:lineRule="exact"/>
              <w:ind w:left="125"/>
              <w:rPr>
                <w:sz w:val="20"/>
              </w:rPr>
            </w:pPr>
            <w:r>
              <w:rPr>
                <w:sz w:val="20"/>
              </w:rPr>
              <w:t>Manfaat</w:t>
            </w:r>
            <w:r>
              <w:rPr>
                <w:spacing w:val="11"/>
                <w:sz w:val="20"/>
              </w:rPr>
              <w:t> </w:t>
            </w:r>
            <w:r>
              <w:rPr>
                <w:spacing w:val="-2"/>
                <w:sz w:val="20"/>
              </w:rPr>
              <w:t>Program</w:t>
            </w:r>
          </w:p>
        </w:tc>
        <w:tc>
          <w:tcPr>
            <w:tcW w:w="1344" w:type="dxa"/>
          </w:tcPr>
          <w:p>
            <w:pPr>
              <w:pStyle w:val="TableParagraph"/>
              <w:spacing w:line="210" w:lineRule="exact"/>
              <w:ind w:left="29" w:right="78"/>
              <w:jc w:val="center"/>
              <w:rPr>
                <w:b/>
                <w:sz w:val="20"/>
              </w:rPr>
            </w:pPr>
            <w:r>
              <w:rPr>
                <w:b/>
                <w:spacing w:val="-2"/>
                <w:sz w:val="20"/>
              </w:rPr>
              <w:t>78,57%</w:t>
            </w:r>
          </w:p>
        </w:tc>
      </w:tr>
      <w:tr>
        <w:trPr>
          <w:trHeight w:val="452" w:hRule="atLeast"/>
        </w:trPr>
        <w:tc>
          <w:tcPr>
            <w:tcW w:w="3066" w:type="dxa"/>
            <w:tcBorders>
              <w:bottom w:val="single" w:sz="4" w:space="0" w:color="7E7E7E"/>
            </w:tcBorders>
          </w:tcPr>
          <w:p>
            <w:pPr>
              <w:pStyle w:val="TableParagraph"/>
              <w:ind w:left="125"/>
              <w:rPr>
                <w:sz w:val="20"/>
              </w:rPr>
            </w:pPr>
            <w:r>
              <w:rPr>
                <w:sz w:val="20"/>
              </w:rPr>
              <w:t>Kepuasan dan </w:t>
            </w:r>
            <w:r>
              <w:rPr>
                <w:spacing w:val="-2"/>
                <w:sz w:val="20"/>
              </w:rPr>
              <w:t>Keberlanjutan</w:t>
            </w:r>
          </w:p>
          <w:p>
            <w:pPr>
              <w:pStyle w:val="TableParagraph"/>
              <w:spacing w:line="207" w:lineRule="exact"/>
              <w:ind w:left="125"/>
              <w:rPr>
                <w:sz w:val="20"/>
              </w:rPr>
            </w:pPr>
            <w:r>
              <w:rPr>
                <w:spacing w:val="-2"/>
                <w:sz w:val="20"/>
              </w:rPr>
              <w:t>Program</w:t>
            </w:r>
          </w:p>
        </w:tc>
        <w:tc>
          <w:tcPr>
            <w:tcW w:w="1344" w:type="dxa"/>
            <w:tcBorders>
              <w:bottom w:val="single" w:sz="4" w:space="0" w:color="7E7E7E"/>
            </w:tcBorders>
          </w:tcPr>
          <w:p>
            <w:pPr>
              <w:pStyle w:val="TableParagraph"/>
              <w:ind w:left="29" w:right="78"/>
              <w:jc w:val="center"/>
              <w:rPr>
                <w:b/>
                <w:sz w:val="20"/>
              </w:rPr>
            </w:pPr>
            <w:r>
              <w:rPr>
                <w:b/>
                <w:spacing w:val="-2"/>
                <w:sz w:val="20"/>
              </w:rPr>
              <w:t>85,00%</w:t>
            </w:r>
          </w:p>
        </w:tc>
      </w:tr>
    </w:tbl>
    <w:p>
      <w:pPr>
        <w:pStyle w:val="BodyText"/>
        <w:spacing w:before="24"/>
        <w:ind w:left="718" w:right="40" w:hanging="441"/>
      </w:pPr>
      <w:r>
        <w:rPr/>
        <w:t>Sumber: Data primer yang telah diolah tahun 2026 Berdasarkan tabel</w:t>
      </w:r>
      <w:r>
        <w:rPr>
          <w:spacing w:val="4"/>
        </w:rPr>
        <w:t> </w:t>
      </w:r>
      <w:r>
        <w:rPr/>
        <w:t>di</w:t>
      </w:r>
      <w:r>
        <w:rPr>
          <w:spacing w:val="4"/>
        </w:rPr>
        <w:t> </w:t>
      </w:r>
      <w:r>
        <w:rPr/>
        <w:t>atas, secara</w:t>
      </w:r>
      <w:r>
        <w:rPr>
          <w:spacing w:val="1"/>
        </w:rPr>
        <w:t> </w:t>
      </w:r>
      <w:r>
        <w:rPr/>
        <w:t>umum</w:t>
      </w:r>
      <w:r>
        <w:rPr>
          <w:spacing w:val="5"/>
        </w:rPr>
        <w:t> </w:t>
      </w:r>
      <w:r>
        <w:rPr>
          <w:spacing w:val="-2"/>
        </w:rPr>
        <w:t>Program</w:t>
      </w:r>
    </w:p>
    <w:p>
      <w:pPr>
        <w:pStyle w:val="BodyText"/>
        <w:ind w:left="277" w:right="35"/>
      </w:pPr>
      <w:r>
        <w:rPr/>
        <w:t>Perbaikan</w:t>
      </w:r>
      <w:r>
        <w:rPr>
          <w:spacing w:val="-3"/>
        </w:rPr>
        <w:t> </w:t>
      </w:r>
      <w:r>
        <w:rPr/>
        <w:t>Rumah</w:t>
      </w:r>
      <w:r>
        <w:rPr>
          <w:spacing w:val="-12"/>
        </w:rPr>
        <w:t> </w:t>
      </w:r>
      <w:r>
        <w:rPr/>
        <w:t>telah</w:t>
      </w:r>
      <w:r>
        <w:rPr>
          <w:spacing w:val="-3"/>
        </w:rPr>
        <w:t> </w:t>
      </w:r>
      <w:r>
        <w:rPr/>
        <w:t>memberikan</w:t>
      </w:r>
      <w:r>
        <w:rPr>
          <w:spacing w:val="-3"/>
        </w:rPr>
        <w:t> </w:t>
      </w:r>
      <w:r>
        <w:rPr/>
        <w:t>perubahan</w:t>
      </w:r>
      <w:r>
        <w:rPr>
          <w:spacing w:val="-12"/>
        </w:rPr>
        <w:t> </w:t>
      </w:r>
      <w:r>
        <w:rPr/>
        <w:t>positif terhadap semua indicator persepsi. Perbaikan tersebut disesuaikan dengan tingkat kerusakan dan kebutuhan masing-masing rumah, sehingga tidak seluruh penerima manfaat memperoleh jenis perbaikan yang </w:t>
      </w:r>
      <w:r>
        <w:rPr>
          <w:spacing w:val="-2"/>
        </w:rPr>
        <w:t>sama.</w:t>
      </w:r>
    </w:p>
    <w:p>
      <w:pPr>
        <w:pStyle w:val="Heading2"/>
        <w:tabs>
          <w:tab w:pos="968" w:val="left" w:leader="none"/>
          <w:tab w:pos="4641" w:val="left" w:leader="none"/>
        </w:tabs>
        <w:spacing w:before="2"/>
        <w:ind w:left="277"/>
        <w:jc w:val="both"/>
      </w:pPr>
      <w:r>
        <w:rPr>
          <w:u w:val="single" w:color="7E7E7E"/>
        </w:rPr>
        <w:tab/>
        <w:t>Tabel</w:t>
      </w:r>
      <w:r>
        <w:rPr>
          <w:spacing w:val="2"/>
          <w:u w:val="single" w:color="7E7E7E"/>
        </w:rPr>
        <w:t> </w:t>
      </w:r>
      <w:r>
        <w:rPr>
          <w:u w:val="single" w:color="7E7E7E"/>
        </w:rPr>
        <w:t>1.</w:t>
      </w:r>
      <w:r>
        <w:rPr>
          <w:spacing w:val="-1"/>
          <w:u w:val="single" w:color="7E7E7E"/>
        </w:rPr>
        <w:t> </w:t>
      </w:r>
      <w:r>
        <w:rPr>
          <w:u w:val="single" w:color="7E7E7E"/>
        </w:rPr>
        <w:t>6</w:t>
      </w:r>
      <w:r>
        <w:rPr>
          <w:spacing w:val="-1"/>
          <w:u w:val="single" w:color="7E7E7E"/>
        </w:rPr>
        <w:t> </w:t>
      </w:r>
      <w:r>
        <w:rPr>
          <w:u w:val="single" w:color="7E7E7E"/>
        </w:rPr>
        <w:t>Persepsi</w:t>
      </w:r>
      <w:r>
        <w:rPr>
          <w:spacing w:val="3"/>
          <w:u w:val="single" w:color="7E7E7E"/>
        </w:rPr>
        <w:t> </w:t>
      </w:r>
      <w:r>
        <w:rPr>
          <w:spacing w:val="-2"/>
          <w:u w:val="single" w:color="7E7E7E"/>
        </w:rPr>
        <w:t>Masyarakat</w:t>
      </w:r>
      <w:r>
        <w:rPr>
          <w:u w:val="single" w:color="7E7E7E"/>
        </w:rPr>
        <w:tab/>
      </w:r>
    </w:p>
    <w:tbl>
      <w:tblPr>
        <w:tblW w:w="0" w:type="auto"/>
        <w:jc w:val="left"/>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15"/>
        <w:gridCol w:w="1272"/>
      </w:tblGrid>
      <w:tr>
        <w:trPr>
          <w:trHeight w:val="461" w:hRule="atLeast"/>
        </w:trPr>
        <w:tc>
          <w:tcPr>
            <w:tcW w:w="2915" w:type="dxa"/>
          </w:tcPr>
          <w:p>
            <w:pPr>
              <w:pStyle w:val="TableParagraph"/>
              <w:spacing w:line="221" w:lineRule="exact"/>
              <w:rPr>
                <w:b/>
                <w:sz w:val="20"/>
              </w:rPr>
            </w:pPr>
            <w:r>
              <w:rPr>
                <w:b/>
                <w:spacing w:val="-2"/>
                <w:sz w:val="20"/>
              </w:rPr>
              <w:t>Persepsi</w:t>
            </w:r>
          </w:p>
        </w:tc>
        <w:tc>
          <w:tcPr>
            <w:tcW w:w="1272" w:type="dxa"/>
          </w:tcPr>
          <w:p>
            <w:pPr>
              <w:pStyle w:val="TableParagraph"/>
              <w:spacing w:line="221" w:lineRule="exact"/>
              <w:ind w:left="247"/>
              <w:rPr>
                <w:b/>
                <w:sz w:val="20"/>
              </w:rPr>
            </w:pPr>
            <w:r>
              <w:rPr>
                <w:b/>
                <w:sz w:val="20"/>
              </w:rPr>
              <w:t>Tanah</w:t>
            </w:r>
            <w:r>
              <w:rPr>
                <w:b/>
                <w:spacing w:val="-12"/>
                <w:sz w:val="20"/>
              </w:rPr>
              <w:t> </w:t>
            </w:r>
            <w:r>
              <w:rPr>
                <w:b/>
                <w:spacing w:val="-4"/>
                <w:sz w:val="20"/>
              </w:rPr>
              <w:t>Kali</w:t>
            </w:r>
          </w:p>
          <w:p>
            <w:pPr>
              <w:pStyle w:val="TableParagraph"/>
              <w:tabs>
                <w:tab w:pos="1378" w:val="left" w:leader="none"/>
              </w:tabs>
              <w:spacing w:line="220" w:lineRule="exact"/>
              <w:ind w:left="-2986" w:right="-116"/>
              <w:rPr>
                <w:b/>
                <w:sz w:val="20"/>
              </w:rPr>
            </w:pPr>
            <w:r>
              <w:rPr>
                <w:b/>
                <w:spacing w:val="78"/>
                <w:w w:val="150"/>
                <w:sz w:val="20"/>
                <w:u w:val="single" w:color="7E7E7E"/>
              </w:rPr>
              <w:t>                     </w:t>
            </w:r>
            <w:r>
              <w:rPr>
                <w:b/>
                <w:spacing w:val="-2"/>
                <w:sz w:val="20"/>
                <w:u w:val="single" w:color="7E7E7E"/>
              </w:rPr>
              <w:t>Kedinding</w:t>
            </w:r>
            <w:r>
              <w:rPr>
                <w:b/>
                <w:sz w:val="20"/>
                <w:u w:val="single" w:color="7E7E7E"/>
              </w:rPr>
              <w:tab/>
            </w:r>
          </w:p>
        </w:tc>
      </w:tr>
      <w:tr>
        <w:trPr>
          <w:trHeight w:val="235" w:hRule="atLeast"/>
        </w:trPr>
        <w:tc>
          <w:tcPr>
            <w:tcW w:w="2915" w:type="dxa"/>
          </w:tcPr>
          <w:p>
            <w:pPr>
              <w:pStyle w:val="TableParagraph"/>
              <w:spacing w:line="214" w:lineRule="exact" w:before="1"/>
              <w:rPr>
                <w:sz w:val="20"/>
              </w:rPr>
            </w:pPr>
            <w:r>
              <w:rPr>
                <w:sz w:val="20"/>
              </w:rPr>
              <w:t>Pelaksanaan</w:t>
            </w:r>
            <w:r>
              <w:rPr>
                <w:spacing w:val="7"/>
                <w:sz w:val="20"/>
              </w:rPr>
              <w:t> </w:t>
            </w:r>
            <w:r>
              <w:rPr>
                <w:spacing w:val="-2"/>
                <w:sz w:val="20"/>
              </w:rPr>
              <w:t>Program</w:t>
            </w:r>
          </w:p>
        </w:tc>
        <w:tc>
          <w:tcPr>
            <w:tcW w:w="1272" w:type="dxa"/>
          </w:tcPr>
          <w:p>
            <w:pPr>
              <w:pStyle w:val="TableParagraph"/>
              <w:spacing w:line="214" w:lineRule="exact" w:before="1"/>
              <w:ind w:left="247"/>
              <w:rPr>
                <w:b/>
                <w:sz w:val="20"/>
              </w:rPr>
            </w:pPr>
            <w:r>
              <w:rPr>
                <w:b/>
                <w:spacing w:val="-2"/>
                <w:sz w:val="20"/>
              </w:rPr>
              <w:t>90,95%</w:t>
            </w:r>
          </w:p>
        </w:tc>
      </w:tr>
      <w:tr>
        <w:trPr>
          <w:trHeight w:val="229" w:hRule="atLeast"/>
        </w:trPr>
        <w:tc>
          <w:tcPr>
            <w:tcW w:w="2915" w:type="dxa"/>
          </w:tcPr>
          <w:p>
            <w:pPr>
              <w:pStyle w:val="TableParagraph"/>
              <w:spacing w:line="210" w:lineRule="exact"/>
              <w:rPr>
                <w:sz w:val="20"/>
              </w:rPr>
            </w:pPr>
            <w:r>
              <w:rPr>
                <w:sz w:val="20"/>
              </w:rPr>
              <w:t>Perubahan Kondisi</w:t>
            </w:r>
            <w:r>
              <w:rPr>
                <w:spacing w:val="4"/>
                <w:sz w:val="20"/>
              </w:rPr>
              <w:t> </w:t>
            </w:r>
            <w:r>
              <w:rPr>
                <w:sz w:val="20"/>
              </w:rPr>
              <w:t>Fisik</w:t>
            </w:r>
            <w:r>
              <w:rPr>
                <w:spacing w:val="1"/>
                <w:sz w:val="20"/>
              </w:rPr>
              <w:t> </w:t>
            </w:r>
            <w:r>
              <w:rPr>
                <w:spacing w:val="-4"/>
                <w:sz w:val="20"/>
              </w:rPr>
              <w:t>Rumah</w:t>
            </w:r>
          </w:p>
        </w:tc>
        <w:tc>
          <w:tcPr>
            <w:tcW w:w="1272" w:type="dxa"/>
          </w:tcPr>
          <w:p>
            <w:pPr>
              <w:pStyle w:val="TableParagraph"/>
              <w:spacing w:line="210" w:lineRule="exact"/>
              <w:ind w:left="247"/>
              <w:rPr>
                <w:b/>
                <w:sz w:val="20"/>
              </w:rPr>
            </w:pPr>
            <w:r>
              <w:rPr>
                <w:b/>
                <w:spacing w:val="-2"/>
                <w:sz w:val="20"/>
              </w:rPr>
              <w:t>84,37%</w:t>
            </w:r>
          </w:p>
        </w:tc>
      </w:tr>
      <w:tr>
        <w:trPr>
          <w:trHeight w:val="230" w:hRule="atLeast"/>
        </w:trPr>
        <w:tc>
          <w:tcPr>
            <w:tcW w:w="2915" w:type="dxa"/>
          </w:tcPr>
          <w:p>
            <w:pPr>
              <w:pStyle w:val="TableParagraph"/>
              <w:spacing w:line="210" w:lineRule="exact"/>
              <w:rPr>
                <w:sz w:val="20"/>
              </w:rPr>
            </w:pPr>
            <w:r>
              <w:rPr>
                <w:sz w:val="20"/>
              </w:rPr>
              <w:t>Kenyamanan</w:t>
            </w:r>
            <w:r>
              <w:rPr>
                <w:spacing w:val="3"/>
                <w:sz w:val="20"/>
              </w:rPr>
              <w:t> </w:t>
            </w:r>
            <w:r>
              <w:rPr>
                <w:sz w:val="20"/>
              </w:rPr>
              <w:t>dan</w:t>
            </w:r>
            <w:r>
              <w:rPr>
                <w:spacing w:val="2"/>
                <w:sz w:val="20"/>
              </w:rPr>
              <w:t> </w:t>
            </w:r>
            <w:r>
              <w:rPr>
                <w:spacing w:val="-2"/>
                <w:sz w:val="20"/>
              </w:rPr>
              <w:t>Keamanan</w:t>
            </w:r>
          </w:p>
        </w:tc>
        <w:tc>
          <w:tcPr>
            <w:tcW w:w="1272" w:type="dxa"/>
          </w:tcPr>
          <w:p>
            <w:pPr>
              <w:pStyle w:val="TableParagraph"/>
              <w:spacing w:line="210" w:lineRule="exact"/>
              <w:ind w:left="247"/>
              <w:rPr>
                <w:b/>
                <w:sz w:val="20"/>
              </w:rPr>
            </w:pPr>
            <w:r>
              <w:rPr>
                <w:b/>
                <w:spacing w:val="-2"/>
                <w:sz w:val="20"/>
              </w:rPr>
              <w:t>87,14%</w:t>
            </w:r>
          </w:p>
        </w:tc>
      </w:tr>
      <w:tr>
        <w:trPr>
          <w:trHeight w:val="230" w:hRule="atLeast"/>
        </w:trPr>
        <w:tc>
          <w:tcPr>
            <w:tcW w:w="2915" w:type="dxa"/>
          </w:tcPr>
          <w:p>
            <w:pPr>
              <w:pStyle w:val="TableParagraph"/>
              <w:spacing w:line="210" w:lineRule="exact"/>
              <w:rPr>
                <w:sz w:val="20"/>
              </w:rPr>
            </w:pPr>
            <w:r>
              <w:rPr>
                <w:sz w:val="20"/>
              </w:rPr>
              <w:t>Manfaat</w:t>
            </w:r>
            <w:r>
              <w:rPr>
                <w:spacing w:val="11"/>
                <w:sz w:val="20"/>
              </w:rPr>
              <w:t> </w:t>
            </w:r>
            <w:r>
              <w:rPr>
                <w:spacing w:val="-2"/>
                <w:sz w:val="20"/>
              </w:rPr>
              <w:t>Program</w:t>
            </w:r>
          </w:p>
        </w:tc>
        <w:tc>
          <w:tcPr>
            <w:tcW w:w="1272" w:type="dxa"/>
          </w:tcPr>
          <w:p>
            <w:pPr>
              <w:pStyle w:val="TableParagraph"/>
              <w:spacing w:line="210" w:lineRule="exact"/>
              <w:ind w:left="247"/>
              <w:rPr>
                <w:b/>
                <w:sz w:val="20"/>
              </w:rPr>
            </w:pPr>
            <w:r>
              <w:rPr>
                <w:b/>
                <w:spacing w:val="-2"/>
                <w:sz w:val="20"/>
              </w:rPr>
              <w:t>80,00%</w:t>
            </w:r>
          </w:p>
        </w:tc>
      </w:tr>
      <w:tr>
        <w:trPr>
          <w:trHeight w:val="456" w:hRule="atLeast"/>
        </w:trPr>
        <w:tc>
          <w:tcPr>
            <w:tcW w:w="2915" w:type="dxa"/>
          </w:tcPr>
          <w:p>
            <w:pPr>
              <w:pStyle w:val="TableParagraph"/>
              <w:rPr>
                <w:sz w:val="20"/>
              </w:rPr>
            </w:pPr>
            <w:r>
              <w:rPr>
                <w:sz w:val="20"/>
              </w:rPr>
              <w:t>Kepuasan dan </w:t>
            </w:r>
            <w:r>
              <w:rPr>
                <w:spacing w:val="-2"/>
                <w:sz w:val="20"/>
              </w:rPr>
              <w:t>Keberlanjutan</w:t>
            </w:r>
          </w:p>
          <w:p>
            <w:pPr>
              <w:pStyle w:val="TableParagraph"/>
              <w:tabs>
                <w:tab w:pos="4293" w:val="left" w:leader="none"/>
              </w:tabs>
              <w:spacing w:line="210" w:lineRule="exact"/>
              <w:ind w:left="-81" w:right="-1383"/>
              <w:rPr>
                <w:sz w:val="20"/>
              </w:rPr>
            </w:pPr>
            <w:r>
              <w:rPr>
                <w:spacing w:val="80"/>
                <w:sz w:val="20"/>
                <w:u w:val="single" w:color="7E7E7E"/>
              </w:rPr>
              <w:t> </w:t>
            </w:r>
            <w:r>
              <w:rPr>
                <w:spacing w:val="-2"/>
                <w:sz w:val="20"/>
                <w:u w:val="single" w:color="7E7E7E"/>
              </w:rPr>
              <w:t>Program</w:t>
            </w:r>
            <w:r>
              <w:rPr>
                <w:sz w:val="20"/>
                <w:u w:val="single" w:color="7E7E7E"/>
              </w:rPr>
              <w:tab/>
            </w:r>
          </w:p>
        </w:tc>
        <w:tc>
          <w:tcPr>
            <w:tcW w:w="1272" w:type="dxa"/>
          </w:tcPr>
          <w:p>
            <w:pPr>
              <w:pStyle w:val="TableParagraph"/>
              <w:ind w:left="247"/>
              <w:rPr>
                <w:b/>
                <w:sz w:val="20"/>
              </w:rPr>
            </w:pPr>
            <w:r>
              <w:rPr>
                <w:b/>
                <w:spacing w:val="-2"/>
                <w:sz w:val="20"/>
              </w:rPr>
              <w:t>90,00%</w:t>
            </w:r>
          </w:p>
        </w:tc>
      </w:tr>
    </w:tbl>
    <w:p>
      <w:pPr>
        <w:pStyle w:val="BodyText"/>
        <w:spacing w:before="30"/>
        <w:ind w:left="1438" w:right="39" w:hanging="1011"/>
      </w:pPr>
      <w:r>
        <w:rPr/>
        <w:t>Sumber: Data primer yang telah diolah tahun 2026 Berdasarkan</w:t>
      </w:r>
      <w:r>
        <w:rPr>
          <w:spacing w:val="74"/>
          <w:w w:val="150"/>
        </w:rPr>
        <w:t> </w:t>
      </w:r>
      <w:r>
        <w:rPr/>
        <w:t>tabel</w:t>
      </w:r>
      <w:r>
        <w:rPr>
          <w:spacing w:val="79"/>
          <w:w w:val="150"/>
        </w:rPr>
        <w:t> </w:t>
      </w:r>
      <w:r>
        <w:rPr/>
        <w:t>di</w:t>
      </w:r>
      <w:r>
        <w:rPr>
          <w:spacing w:val="79"/>
          <w:w w:val="150"/>
        </w:rPr>
        <w:t> </w:t>
      </w:r>
      <w:r>
        <w:rPr/>
        <w:t>atas,</w:t>
      </w:r>
      <w:r>
        <w:rPr>
          <w:spacing w:val="74"/>
          <w:w w:val="150"/>
        </w:rPr>
        <w:t> </w:t>
      </w:r>
      <w:r>
        <w:rPr>
          <w:spacing w:val="-2"/>
        </w:rPr>
        <w:t>Program</w:t>
      </w:r>
    </w:p>
    <w:p>
      <w:pPr>
        <w:pStyle w:val="BodyText"/>
        <w:ind w:left="428" w:right="35"/>
      </w:pPr>
      <w:r>
        <w:rPr/>
        <w:t>Perbaikan Rumah di Kelurahan Tanah Kali Kedinding memberikan perubahan yang signifikan terhadap kondisi fisik rumah penerima manfaat. Perubahan tersebut terlihat pada perbaikan atap, struktur bangunan, lantai, serta fasilitas sanitasi.</w:t>
      </w:r>
    </w:p>
    <w:p>
      <w:pPr>
        <w:pStyle w:val="BodyText"/>
        <w:spacing w:before="121"/>
        <w:jc w:val="left"/>
      </w:pPr>
    </w:p>
    <w:p>
      <w:pPr>
        <w:pStyle w:val="Heading2"/>
        <w:numPr>
          <w:ilvl w:val="0"/>
          <w:numId w:val="1"/>
        </w:numPr>
        <w:tabs>
          <w:tab w:pos="328" w:val="left" w:leader="none"/>
        </w:tabs>
        <w:spacing w:line="240" w:lineRule="auto" w:before="0" w:after="0"/>
        <w:ind w:left="328" w:right="411" w:hanging="200"/>
        <w:jc w:val="both"/>
      </w:pPr>
      <w:r>
        <w:rPr/>
        <w:t>Perbandingan</w:t>
      </w:r>
      <w:r>
        <w:rPr>
          <w:spacing w:val="-12"/>
        </w:rPr>
        <w:t> </w:t>
      </w:r>
      <w:r>
        <w:rPr/>
        <w:t>Persepsi</w:t>
      </w:r>
      <w:r>
        <w:rPr>
          <w:spacing w:val="-7"/>
        </w:rPr>
        <w:t> </w:t>
      </w:r>
      <w:r>
        <w:rPr/>
        <w:t>Masyarakat</w:t>
      </w:r>
      <w:r>
        <w:rPr>
          <w:spacing w:val="-8"/>
        </w:rPr>
        <w:t> </w:t>
      </w:r>
      <w:r>
        <w:rPr/>
        <w:t>Penerima Manfaat Program di</w:t>
      </w:r>
      <w:r>
        <w:rPr>
          <w:spacing w:val="-1"/>
        </w:rPr>
        <w:t> </w:t>
      </w:r>
      <w:r>
        <w:rPr/>
        <w:t>Kelurahan</w:t>
      </w:r>
      <w:r>
        <w:rPr>
          <w:spacing w:val="-7"/>
        </w:rPr>
        <w:t> </w:t>
      </w:r>
      <w:r>
        <w:rPr/>
        <w:t>Genteng dan Kelurahan Tanah Kali Kedinding</w:t>
      </w:r>
    </w:p>
    <w:p>
      <w:pPr>
        <w:spacing w:before="121"/>
        <w:ind w:left="548" w:right="0" w:firstLine="0"/>
        <w:jc w:val="left"/>
        <w:rPr>
          <w:b/>
          <w:sz w:val="20"/>
        </w:rPr>
      </w:pPr>
      <w:r>
        <w:rPr>
          <w:b/>
          <w:sz w:val="20"/>
        </w:rPr>
        <w:t>Tabel</w:t>
      </w:r>
      <w:r>
        <w:rPr>
          <w:b/>
          <w:spacing w:val="-3"/>
          <w:sz w:val="20"/>
        </w:rPr>
        <w:t> </w:t>
      </w:r>
      <w:r>
        <w:rPr>
          <w:b/>
          <w:sz w:val="20"/>
        </w:rPr>
        <w:t>1.</w:t>
      </w:r>
      <w:r>
        <w:rPr>
          <w:b/>
          <w:spacing w:val="-6"/>
          <w:sz w:val="20"/>
        </w:rPr>
        <w:t> </w:t>
      </w:r>
      <w:r>
        <w:rPr>
          <w:b/>
          <w:sz w:val="20"/>
        </w:rPr>
        <w:t>5</w:t>
      </w:r>
      <w:r>
        <w:rPr>
          <w:b/>
          <w:spacing w:val="-6"/>
          <w:sz w:val="20"/>
        </w:rPr>
        <w:t> </w:t>
      </w:r>
      <w:r>
        <w:rPr>
          <w:b/>
          <w:sz w:val="20"/>
        </w:rPr>
        <w:t>Persepsi</w:t>
      </w:r>
      <w:r>
        <w:rPr>
          <w:b/>
          <w:spacing w:val="-3"/>
          <w:sz w:val="20"/>
        </w:rPr>
        <w:t> </w:t>
      </w:r>
      <w:r>
        <w:rPr>
          <w:b/>
          <w:sz w:val="20"/>
        </w:rPr>
        <w:t>Masyarakat</w:t>
      </w:r>
      <w:r>
        <w:rPr>
          <w:b/>
          <w:spacing w:val="-3"/>
          <w:sz w:val="20"/>
        </w:rPr>
        <w:t> </w:t>
      </w:r>
      <w:r>
        <w:rPr>
          <w:b/>
          <w:sz w:val="20"/>
        </w:rPr>
        <w:t>di</w:t>
      </w:r>
      <w:r>
        <w:rPr>
          <w:b/>
          <w:spacing w:val="-2"/>
          <w:sz w:val="20"/>
        </w:rPr>
        <w:t> Kelurahan</w:t>
      </w:r>
    </w:p>
    <w:p>
      <w:pPr>
        <w:pStyle w:val="Heading2"/>
        <w:tabs>
          <w:tab w:pos="1528" w:val="left" w:leader="none"/>
          <w:tab w:pos="4641" w:val="left" w:leader="none"/>
        </w:tabs>
        <w:ind w:left="428"/>
        <w:jc w:val="both"/>
      </w:pPr>
      <w:r>
        <w:rPr/>
        <mc:AlternateContent>
          <mc:Choice Requires="wps">
            <w:drawing>
              <wp:anchor distT="0" distB="0" distL="0" distR="0" allowOverlap="1" layoutInCell="1" locked="0" behindDoc="0" simplePos="0" relativeHeight="15732224">
                <wp:simplePos x="0" y="0"/>
                <wp:positionH relativeFrom="page">
                  <wp:posOffset>991552</wp:posOffset>
                </wp:positionH>
                <wp:positionV relativeFrom="paragraph">
                  <wp:posOffset>157889</wp:posOffset>
                </wp:positionV>
                <wp:extent cx="2680970" cy="13144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680970" cy="131445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8"/>
                              <w:gridCol w:w="1045"/>
                              <w:gridCol w:w="1151"/>
                            </w:tblGrid>
                            <w:tr>
                              <w:trPr>
                                <w:trHeight w:val="691" w:hRule="atLeast"/>
                              </w:trPr>
                              <w:tc>
                                <w:tcPr>
                                  <w:tcW w:w="1908" w:type="dxa"/>
                                </w:tcPr>
                                <w:p>
                                  <w:pPr>
                                    <w:pStyle w:val="TableParagraph"/>
                                    <w:spacing w:line="221" w:lineRule="exact"/>
                                    <w:rPr>
                                      <w:b/>
                                      <w:sz w:val="20"/>
                                    </w:rPr>
                                  </w:pPr>
                                  <w:r>
                                    <w:rPr>
                                      <w:b/>
                                      <w:spacing w:val="-2"/>
                                      <w:sz w:val="20"/>
                                    </w:rPr>
                                    <w:t>Persepsi</w:t>
                                  </w:r>
                                </w:p>
                              </w:tc>
                              <w:tc>
                                <w:tcPr>
                                  <w:tcW w:w="1045" w:type="dxa"/>
                                </w:tcPr>
                                <w:p>
                                  <w:pPr>
                                    <w:pStyle w:val="TableParagraph"/>
                                    <w:spacing w:line="221" w:lineRule="exact"/>
                                    <w:ind w:left="123"/>
                                    <w:rPr>
                                      <w:b/>
                                      <w:sz w:val="20"/>
                                    </w:rPr>
                                  </w:pPr>
                                  <w:r>
                                    <w:rPr>
                                      <w:b/>
                                      <w:spacing w:val="-2"/>
                                      <w:sz w:val="20"/>
                                    </w:rPr>
                                    <w:t>Genteng</w:t>
                                  </w:r>
                                </w:p>
                              </w:tc>
                              <w:tc>
                                <w:tcPr>
                                  <w:tcW w:w="1151" w:type="dxa"/>
                                </w:tcPr>
                                <w:p>
                                  <w:pPr>
                                    <w:pStyle w:val="TableParagraph"/>
                                    <w:spacing w:line="240" w:lineRule="auto"/>
                                    <w:ind w:left="189" w:right="406"/>
                                    <w:rPr>
                                      <w:b/>
                                      <w:sz w:val="20"/>
                                    </w:rPr>
                                  </w:pPr>
                                  <w:r>
                                    <w:rPr>
                                      <w:b/>
                                      <w:spacing w:val="-4"/>
                                      <w:sz w:val="20"/>
                                    </w:rPr>
                                    <w:t>Tanah Kali</w:t>
                                  </w:r>
                                </w:p>
                                <w:p>
                                  <w:pPr>
                                    <w:pStyle w:val="TableParagraph"/>
                                    <w:spacing w:line="219" w:lineRule="exact"/>
                                    <w:ind w:left="-3014" w:right="-58"/>
                                    <w:rPr>
                                      <w:b/>
                                      <w:sz w:val="20"/>
                                    </w:rPr>
                                  </w:pPr>
                                  <w:r>
                                    <w:rPr>
                                      <w:b/>
                                      <w:spacing w:val="77"/>
                                      <w:w w:val="150"/>
                                      <w:sz w:val="20"/>
                                      <w:u w:val="single" w:color="7E7E7E"/>
                                    </w:rPr>
                                    <w:t>                     </w:t>
                                  </w:r>
                                  <w:r>
                                    <w:rPr>
                                      <w:b/>
                                      <w:spacing w:val="-2"/>
                                      <w:sz w:val="20"/>
                                      <w:u w:val="single" w:color="7E7E7E"/>
                                    </w:rPr>
                                    <w:t>Kedinding</w:t>
                                  </w:r>
                                  <w:r>
                                    <w:rPr>
                                      <w:b/>
                                      <w:spacing w:val="80"/>
                                      <w:sz w:val="20"/>
                                      <w:u w:val="single" w:color="7E7E7E"/>
                                    </w:rPr>
                                    <w:t> </w:t>
                                  </w:r>
                                </w:p>
                              </w:tc>
                            </w:tr>
                            <w:tr>
                              <w:trPr>
                                <w:trHeight w:val="234" w:hRule="atLeast"/>
                              </w:trPr>
                              <w:tc>
                                <w:tcPr>
                                  <w:tcW w:w="1908" w:type="dxa"/>
                                </w:tcPr>
                                <w:p>
                                  <w:pPr>
                                    <w:pStyle w:val="TableParagraph"/>
                                    <w:spacing w:line="214" w:lineRule="exact"/>
                                    <w:rPr>
                                      <w:sz w:val="20"/>
                                    </w:rPr>
                                  </w:pPr>
                                  <w:r>
                                    <w:rPr>
                                      <w:sz w:val="20"/>
                                    </w:rPr>
                                    <w:t>Pelaksanaan</w:t>
                                  </w:r>
                                  <w:r>
                                    <w:rPr>
                                      <w:spacing w:val="7"/>
                                      <w:sz w:val="20"/>
                                    </w:rPr>
                                    <w:t> </w:t>
                                  </w:r>
                                  <w:r>
                                    <w:rPr>
                                      <w:spacing w:val="-2"/>
                                      <w:sz w:val="20"/>
                                    </w:rPr>
                                    <w:t>Program</w:t>
                                  </w:r>
                                </w:p>
                              </w:tc>
                              <w:tc>
                                <w:tcPr>
                                  <w:tcW w:w="1045" w:type="dxa"/>
                                </w:tcPr>
                                <w:p>
                                  <w:pPr>
                                    <w:pStyle w:val="TableParagraph"/>
                                    <w:spacing w:line="214" w:lineRule="exact"/>
                                    <w:ind w:left="123"/>
                                    <w:rPr>
                                      <w:sz w:val="20"/>
                                    </w:rPr>
                                  </w:pPr>
                                  <w:r>
                                    <w:rPr>
                                      <w:spacing w:val="-2"/>
                                      <w:sz w:val="20"/>
                                    </w:rPr>
                                    <w:t>87,14%</w:t>
                                  </w:r>
                                </w:p>
                              </w:tc>
                              <w:tc>
                                <w:tcPr>
                                  <w:tcW w:w="1151" w:type="dxa"/>
                                </w:tcPr>
                                <w:p>
                                  <w:pPr>
                                    <w:pStyle w:val="TableParagraph"/>
                                    <w:spacing w:line="214" w:lineRule="exact"/>
                                    <w:ind w:left="189"/>
                                    <w:rPr>
                                      <w:sz w:val="20"/>
                                    </w:rPr>
                                  </w:pPr>
                                  <w:r>
                                    <w:rPr>
                                      <w:spacing w:val="-2"/>
                                      <w:sz w:val="20"/>
                                    </w:rPr>
                                    <w:t>90,95%</w:t>
                                  </w:r>
                                </w:p>
                              </w:tc>
                            </w:tr>
                            <w:tr>
                              <w:trPr>
                                <w:trHeight w:val="460" w:hRule="atLeast"/>
                              </w:trPr>
                              <w:tc>
                                <w:tcPr>
                                  <w:tcW w:w="1908" w:type="dxa"/>
                                </w:tcPr>
                                <w:p>
                                  <w:pPr>
                                    <w:pStyle w:val="TableParagraph"/>
                                    <w:rPr>
                                      <w:sz w:val="20"/>
                                    </w:rPr>
                                  </w:pPr>
                                  <w:r>
                                    <w:rPr>
                                      <w:sz w:val="20"/>
                                    </w:rPr>
                                    <w:t>Perubahan</w:t>
                                  </w:r>
                                  <w:r>
                                    <w:rPr>
                                      <w:spacing w:val="4"/>
                                      <w:sz w:val="20"/>
                                    </w:rPr>
                                    <w:t> </w:t>
                                  </w:r>
                                  <w:r>
                                    <w:rPr>
                                      <w:spacing w:val="-2"/>
                                      <w:sz w:val="20"/>
                                    </w:rPr>
                                    <w:t>Kondisi</w:t>
                                  </w:r>
                                </w:p>
                                <w:p>
                                  <w:pPr>
                                    <w:pStyle w:val="TableParagraph"/>
                                    <w:spacing w:line="215" w:lineRule="exact"/>
                                    <w:rPr>
                                      <w:sz w:val="20"/>
                                    </w:rPr>
                                  </w:pPr>
                                  <w:r>
                                    <w:rPr>
                                      <w:sz w:val="20"/>
                                    </w:rPr>
                                    <w:t>Fisik</w:t>
                                  </w:r>
                                  <w:r>
                                    <w:rPr>
                                      <w:spacing w:val="5"/>
                                      <w:sz w:val="20"/>
                                    </w:rPr>
                                    <w:t> </w:t>
                                  </w:r>
                                  <w:r>
                                    <w:rPr>
                                      <w:spacing w:val="-2"/>
                                      <w:sz w:val="20"/>
                                    </w:rPr>
                                    <w:t>Rumah</w:t>
                                  </w:r>
                                </w:p>
                              </w:tc>
                              <w:tc>
                                <w:tcPr>
                                  <w:tcW w:w="1045" w:type="dxa"/>
                                </w:tcPr>
                                <w:p>
                                  <w:pPr>
                                    <w:pStyle w:val="TableParagraph"/>
                                    <w:ind w:left="123"/>
                                    <w:rPr>
                                      <w:sz w:val="20"/>
                                    </w:rPr>
                                  </w:pPr>
                                  <w:r>
                                    <w:rPr>
                                      <w:spacing w:val="-2"/>
                                      <w:sz w:val="20"/>
                                    </w:rPr>
                                    <w:t>80,00%</w:t>
                                  </w:r>
                                </w:p>
                              </w:tc>
                              <w:tc>
                                <w:tcPr>
                                  <w:tcW w:w="1151" w:type="dxa"/>
                                </w:tcPr>
                                <w:p>
                                  <w:pPr>
                                    <w:pStyle w:val="TableParagraph"/>
                                    <w:ind w:left="189"/>
                                    <w:rPr>
                                      <w:sz w:val="20"/>
                                    </w:rPr>
                                  </w:pPr>
                                  <w:r>
                                    <w:rPr>
                                      <w:spacing w:val="-2"/>
                                      <w:sz w:val="20"/>
                                    </w:rPr>
                                    <w:t>84,37%</w:t>
                                  </w:r>
                                </w:p>
                              </w:tc>
                            </w:tr>
                            <w:tr>
                              <w:trPr>
                                <w:trHeight w:val="460" w:hRule="atLeast"/>
                              </w:trPr>
                              <w:tc>
                                <w:tcPr>
                                  <w:tcW w:w="1908" w:type="dxa"/>
                                </w:tcPr>
                                <w:p>
                                  <w:pPr>
                                    <w:pStyle w:val="TableParagraph"/>
                                    <w:rPr>
                                      <w:sz w:val="20"/>
                                    </w:rPr>
                                  </w:pPr>
                                  <w:r>
                                    <w:rPr>
                                      <w:sz w:val="20"/>
                                    </w:rPr>
                                    <w:t>Kenyamanan</w:t>
                                  </w:r>
                                  <w:r>
                                    <w:rPr>
                                      <w:spacing w:val="3"/>
                                      <w:sz w:val="20"/>
                                    </w:rPr>
                                    <w:t> </w:t>
                                  </w:r>
                                  <w:r>
                                    <w:rPr>
                                      <w:spacing w:val="-5"/>
                                      <w:sz w:val="20"/>
                                    </w:rPr>
                                    <w:t>dan</w:t>
                                  </w:r>
                                </w:p>
                                <w:p>
                                  <w:pPr>
                                    <w:pStyle w:val="TableParagraph"/>
                                    <w:spacing w:line="214" w:lineRule="exact"/>
                                    <w:rPr>
                                      <w:sz w:val="20"/>
                                    </w:rPr>
                                  </w:pPr>
                                  <w:r>
                                    <w:rPr>
                                      <w:spacing w:val="-2"/>
                                      <w:sz w:val="20"/>
                                    </w:rPr>
                                    <w:t>Keamanan</w:t>
                                  </w:r>
                                </w:p>
                              </w:tc>
                              <w:tc>
                                <w:tcPr>
                                  <w:tcW w:w="1045" w:type="dxa"/>
                                </w:tcPr>
                                <w:p>
                                  <w:pPr>
                                    <w:pStyle w:val="TableParagraph"/>
                                    <w:ind w:left="123"/>
                                    <w:rPr>
                                      <w:sz w:val="20"/>
                                    </w:rPr>
                                  </w:pPr>
                                  <w:r>
                                    <w:rPr>
                                      <w:spacing w:val="-2"/>
                                      <w:sz w:val="20"/>
                                    </w:rPr>
                                    <w:t>85,71%</w:t>
                                  </w:r>
                                </w:p>
                              </w:tc>
                              <w:tc>
                                <w:tcPr>
                                  <w:tcW w:w="1151" w:type="dxa"/>
                                </w:tcPr>
                                <w:p>
                                  <w:pPr>
                                    <w:pStyle w:val="TableParagraph"/>
                                    <w:ind w:left="189"/>
                                    <w:rPr>
                                      <w:sz w:val="20"/>
                                    </w:rPr>
                                  </w:pPr>
                                  <w:r>
                                    <w:rPr>
                                      <w:spacing w:val="-2"/>
                                      <w:sz w:val="20"/>
                                    </w:rPr>
                                    <w:t>87,14%</w:t>
                                  </w:r>
                                </w:p>
                              </w:tc>
                            </w:tr>
                            <w:tr>
                              <w:trPr>
                                <w:trHeight w:val="225" w:hRule="atLeast"/>
                              </w:trPr>
                              <w:tc>
                                <w:tcPr>
                                  <w:tcW w:w="1908" w:type="dxa"/>
                                </w:tcPr>
                                <w:p>
                                  <w:pPr>
                                    <w:pStyle w:val="TableParagraph"/>
                                    <w:tabs>
                                      <w:tab w:pos="2031" w:val="left" w:leader="none"/>
                                    </w:tabs>
                                    <w:spacing w:line="206" w:lineRule="exact"/>
                                    <w:ind w:left="-70" w:right="-130"/>
                                    <w:rPr>
                                      <w:sz w:val="20"/>
                                    </w:rPr>
                                  </w:pPr>
                                  <w:r>
                                    <w:rPr>
                                      <w:spacing w:val="74"/>
                                      <w:sz w:val="20"/>
                                      <w:u w:val="single" w:color="7E7E7E"/>
                                    </w:rPr>
                                    <w:t> </w:t>
                                  </w:r>
                                  <w:r>
                                    <w:rPr>
                                      <w:sz w:val="20"/>
                                      <w:u w:val="single" w:color="7E7E7E"/>
                                    </w:rPr>
                                    <w:t>Manfaat</w:t>
                                  </w:r>
                                  <w:r>
                                    <w:rPr>
                                      <w:spacing w:val="7"/>
                                      <w:sz w:val="20"/>
                                      <w:u w:val="single" w:color="7E7E7E"/>
                                    </w:rPr>
                                    <w:t> </w:t>
                                  </w:r>
                                  <w:r>
                                    <w:rPr>
                                      <w:spacing w:val="-2"/>
                                      <w:sz w:val="20"/>
                                      <w:u w:val="single" w:color="7E7E7E"/>
                                    </w:rPr>
                                    <w:t>Program</w:t>
                                  </w:r>
                                  <w:r>
                                    <w:rPr>
                                      <w:sz w:val="20"/>
                                      <w:u w:val="single" w:color="7E7E7E"/>
                                    </w:rPr>
                                    <w:tab/>
                                  </w:r>
                                </w:p>
                              </w:tc>
                              <w:tc>
                                <w:tcPr>
                                  <w:tcW w:w="1045" w:type="dxa"/>
                                </w:tcPr>
                                <w:p>
                                  <w:pPr>
                                    <w:pStyle w:val="TableParagraph"/>
                                    <w:tabs>
                                      <w:tab w:pos="1234" w:val="left" w:leader="none"/>
                                    </w:tabs>
                                    <w:spacing w:line="206" w:lineRule="exact"/>
                                    <w:ind w:left="123" w:right="-202"/>
                                    <w:rPr>
                                      <w:sz w:val="20"/>
                                    </w:rPr>
                                  </w:pPr>
                                  <w:r>
                                    <w:rPr>
                                      <w:spacing w:val="-2"/>
                                      <w:sz w:val="20"/>
                                      <w:u w:val="single" w:color="7E7E7E"/>
                                    </w:rPr>
                                    <w:t>78,57%</w:t>
                                  </w:r>
                                  <w:r>
                                    <w:rPr>
                                      <w:sz w:val="20"/>
                                      <w:u w:val="single" w:color="7E7E7E"/>
                                    </w:rPr>
                                    <w:tab/>
                                  </w:r>
                                </w:p>
                              </w:tc>
                              <w:tc>
                                <w:tcPr>
                                  <w:tcW w:w="1151" w:type="dxa"/>
                                </w:tcPr>
                                <w:p>
                                  <w:pPr>
                                    <w:pStyle w:val="TableParagraph"/>
                                    <w:tabs>
                                      <w:tab w:pos="1199" w:val="left" w:leader="none"/>
                                    </w:tabs>
                                    <w:spacing w:line="206" w:lineRule="exact"/>
                                    <w:ind w:left="189" w:right="-58"/>
                                    <w:rPr>
                                      <w:sz w:val="20"/>
                                    </w:rPr>
                                  </w:pPr>
                                  <w:r>
                                    <w:rPr>
                                      <w:spacing w:val="-2"/>
                                      <w:sz w:val="20"/>
                                      <w:u w:val="single" w:color="7E7E7E"/>
                                    </w:rPr>
                                    <w:t>80,00%</w:t>
                                  </w:r>
                                  <w:r>
                                    <w:rPr>
                                      <w:sz w:val="20"/>
                                      <w:u w:val="single" w:color="7E7E7E"/>
                                    </w:rPr>
                                    <w:tab/>
                                  </w:r>
                                </w:p>
                              </w:tc>
                            </w:tr>
                          </w:tbl>
                          <w:p>
                            <w:pPr>
                              <w:pStyle w:val="BodyText"/>
                              <w:jc w:val="left"/>
                            </w:pPr>
                          </w:p>
                        </w:txbxContent>
                      </wps:txbx>
                      <wps:bodyPr wrap="square" lIns="0" tIns="0" rIns="0" bIns="0" rtlCol="0">
                        <a:noAutofit/>
                      </wps:bodyPr>
                    </wps:wsp>
                  </a:graphicData>
                </a:graphic>
              </wp:anchor>
            </w:drawing>
          </mc:Choice>
          <mc:Fallback>
            <w:pict>
              <v:shape style="position:absolute;margin-left:78.074997pt;margin-top:12.432226pt;width:211.1pt;height:103.5pt;mso-position-horizontal-relative:page;mso-position-vertical-relative:paragraph;z-index:15732224" type="#_x0000_t202" id="docshape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8"/>
                        <w:gridCol w:w="1045"/>
                        <w:gridCol w:w="1151"/>
                      </w:tblGrid>
                      <w:tr>
                        <w:trPr>
                          <w:trHeight w:val="691" w:hRule="atLeast"/>
                        </w:trPr>
                        <w:tc>
                          <w:tcPr>
                            <w:tcW w:w="1908" w:type="dxa"/>
                          </w:tcPr>
                          <w:p>
                            <w:pPr>
                              <w:pStyle w:val="TableParagraph"/>
                              <w:spacing w:line="221" w:lineRule="exact"/>
                              <w:rPr>
                                <w:b/>
                                <w:sz w:val="20"/>
                              </w:rPr>
                            </w:pPr>
                            <w:r>
                              <w:rPr>
                                <w:b/>
                                <w:spacing w:val="-2"/>
                                <w:sz w:val="20"/>
                              </w:rPr>
                              <w:t>Persepsi</w:t>
                            </w:r>
                          </w:p>
                        </w:tc>
                        <w:tc>
                          <w:tcPr>
                            <w:tcW w:w="1045" w:type="dxa"/>
                          </w:tcPr>
                          <w:p>
                            <w:pPr>
                              <w:pStyle w:val="TableParagraph"/>
                              <w:spacing w:line="221" w:lineRule="exact"/>
                              <w:ind w:left="123"/>
                              <w:rPr>
                                <w:b/>
                                <w:sz w:val="20"/>
                              </w:rPr>
                            </w:pPr>
                            <w:r>
                              <w:rPr>
                                <w:b/>
                                <w:spacing w:val="-2"/>
                                <w:sz w:val="20"/>
                              </w:rPr>
                              <w:t>Genteng</w:t>
                            </w:r>
                          </w:p>
                        </w:tc>
                        <w:tc>
                          <w:tcPr>
                            <w:tcW w:w="1151" w:type="dxa"/>
                          </w:tcPr>
                          <w:p>
                            <w:pPr>
                              <w:pStyle w:val="TableParagraph"/>
                              <w:spacing w:line="240" w:lineRule="auto"/>
                              <w:ind w:left="189" w:right="406"/>
                              <w:rPr>
                                <w:b/>
                                <w:sz w:val="20"/>
                              </w:rPr>
                            </w:pPr>
                            <w:r>
                              <w:rPr>
                                <w:b/>
                                <w:spacing w:val="-4"/>
                                <w:sz w:val="20"/>
                              </w:rPr>
                              <w:t>Tanah Kali</w:t>
                            </w:r>
                          </w:p>
                          <w:p>
                            <w:pPr>
                              <w:pStyle w:val="TableParagraph"/>
                              <w:spacing w:line="219" w:lineRule="exact"/>
                              <w:ind w:left="-3014" w:right="-58"/>
                              <w:rPr>
                                <w:b/>
                                <w:sz w:val="20"/>
                              </w:rPr>
                            </w:pPr>
                            <w:r>
                              <w:rPr>
                                <w:b/>
                                <w:spacing w:val="77"/>
                                <w:w w:val="150"/>
                                <w:sz w:val="20"/>
                                <w:u w:val="single" w:color="7E7E7E"/>
                              </w:rPr>
                              <w:t>                     </w:t>
                            </w:r>
                            <w:r>
                              <w:rPr>
                                <w:b/>
                                <w:spacing w:val="-2"/>
                                <w:sz w:val="20"/>
                                <w:u w:val="single" w:color="7E7E7E"/>
                              </w:rPr>
                              <w:t>Kedinding</w:t>
                            </w:r>
                            <w:r>
                              <w:rPr>
                                <w:b/>
                                <w:spacing w:val="80"/>
                                <w:sz w:val="20"/>
                                <w:u w:val="single" w:color="7E7E7E"/>
                              </w:rPr>
                              <w:t> </w:t>
                            </w:r>
                          </w:p>
                        </w:tc>
                      </w:tr>
                      <w:tr>
                        <w:trPr>
                          <w:trHeight w:val="234" w:hRule="atLeast"/>
                        </w:trPr>
                        <w:tc>
                          <w:tcPr>
                            <w:tcW w:w="1908" w:type="dxa"/>
                          </w:tcPr>
                          <w:p>
                            <w:pPr>
                              <w:pStyle w:val="TableParagraph"/>
                              <w:spacing w:line="214" w:lineRule="exact"/>
                              <w:rPr>
                                <w:sz w:val="20"/>
                              </w:rPr>
                            </w:pPr>
                            <w:r>
                              <w:rPr>
                                <w:sz w:val="20"/>
                              </w:rPr>
                              <w:t>Pelaksanaan</w:t>
                            </w:r>
                            <w:r>
                              <w:rPr>
                                <w:spacing w:val="7"/>
                                <w:sz w:val="20"/>
                              </w:rPr>
                              <w:t> </w:t>
                            </w:r>
                            <w:r>
                              <w:rPr>
                                <w:spacing w:val="-2"/>
                                <w:sz w:val="20"/>
                              </w:rPr>
                              <w:t>Program</w:t>
                            </w:r>
                          </w:p>
                        </w:tc>
                        <w:tc>
                          <w:tcPr>
                            <w:tcW w:w="1045" w:type="dxa"/>
                          </w:tcPr>
                          <w:p>
                            <w:pPr>
                              <w:pStyle w:val="TableParagraph"/>
                              <w:spacing w:line="214" w:lineRule="exact"/>
                              <w:ind w:left="123"/>
                              <w:rPr>
                                <w:sz w:val="20"/>
                              </w:rPr>
                            </w:pPr>
                            <w:r>
                              <w:rPr>
                                <w:spacing w:val="-2"/>
                                <w:sz w:val="20"/>
                              </w:rPr>
                              <w:t>87,14%</w:t>
                            </w:r>
                          </w:p>
                        </w:tc>
                        <w:tc>
                          <w:tcPr>
                            <w:tcW w:w="1151" w:type="dxa"/>
                          </w:tcPr>
                          <w:p>
                            <w:pPr>
                              <w:pStyle w:val="TableParagraph"/>
                              <w:spacing w:line="214" w:lineRule="exact"/>
                              <w:ind w:left="189"/>
                              <w:rPr>
                                <w:sz w:val="20"/>
                              </w:rPr>
                            </w:pPr>
                            <w:r>
                              <w:rPr>
                                <w:spacing w:val="-2"/>
                                <w:sz w:val="20"/>
                              </w:rPr>
                              <w:t>90,95%</w:t>
                            </w:r>
                          </w:p>
                        </w:tc>
                      </w:tr>
                      <w:tr>
                        <w:trPr>
                          <w:trHeight w:val="460" w:hRule="atLeast"/>
                        </w:trPr>
                        <w:tc>
                          <w:tcPr>
                            <w:tcW w:w="1908" w:type="dxa"/>
                          </w:tcPr>
                          <w:p>
                            <w:pPr>
                              <w:pStyle w:val="TableParagraph"/>
                              <w:rPr>
                                <w:sz w:val="20"/>
                              </w:rPr>
                            </w:pPr>
                            <w:r>
                              <w:rPr>
                                <w:sz w:val="20"/>
                              </w:rPr>
                              <w:t>Perubahan</w:t>
                            </w:r>
                            <w:r>
                              <w:rPr>
                                <w:spacing w:val="4"/>
                                <w:sz w:val="20"/>
                              </w:rPr>
                              <w:t> </w:t>
                            </w:r>
                            <w:r>
                              <w:rPr>
                                <w:spacing w:val="-2"/>
                                <w:sz w:val="20"/>
                              </w:rPr>
                              <w:t>Kondisi</w:t>
                            </w:r>
                          </w:p>
                          <w:p>
                            <w:pPr>
                              <w:pStyle w:val="TableParagraph"/>
                              <w:spacing w:line="215" w:lineRule="exact"/>
                              <w:rPr>
                                <w:sz w:val="20"/>
                              </w:rPr>
                            </w:pPr>
                            <w:r>
                              <w:rPr>
                                <w:sz w:val="20"/>
                              </w:rPr>
                              <w:t>Fisik</w:t>
                            </w:r>
                            <w:r>
                              <w:rPr>
                                <w:spacing w:val="5"/>
                                <w:sz w:val="20"/>
                              </w:rPr>
                              <w:t> </w:t>
                            </w:r>
                            <w:r>
                              <w:rPr>
                                <w:spacing w:val="-2"/>
                                <w:sz w:val="20"/>
                              </w:rPr>
                              <w:t>Rumah</w:t>
                            </w:r>
                          </w:p>
                        </w:tc>
                        <w:tc>
                          <w:tcPr>
                            <w:tcW w:w="1045" w:type="dxa"/>
                          </w:tcPr>
                          <w:p>
                            <w:pPr>
                              <w:pStyle w:val="TableParagraph"/>
                              <w:ind w:left="123"/>
                              <w:rPr>
                                <w:sz w:val="20"/>
                              </w:rPr>
                            </w:pPr>
                            <w:r>
                              <w:rPr>
                                <w:spacing w:val="-2"/>
                                <w:sz w:val="20"/>
                              </w:rPr>
                              <w:t>80,00%</w:t>
                            </w:r>
                          </w:p>
                        </w:tc>
                        <w:tc>
                          <w:tcPr>
                            <w:tcW w:w="1151" w:type="dxa"/>
                          </w:tcPr>
                          <w:p>
                            <w:pPr>
                              <w:pStyle w:val="TableParagraph"/>
                              <w:ind w:left="189"/>
                              <w:rPr>
                                <w:sz w:val="20"/>
                              </w:rPr>
                            </w:pPr>
                            <w:r>
                              <w:rPr>
                                <w:spacing w:val="-2"/>
                                <w:sz w:val="20"/>
                              </w:rPr>
                              <w:t>84,37%</w:t>
                            </w:r>
                          </w:p>
                        </w:tc>
                      </w:tr>
                      <w:tr>
                        <w:trPr>
                          <w:trHeight w:val="460" w:hRule="atLeast"/>
                        </w:trPr>
                        <w:tc>
                          <w:tcPr>
                            <w:tcW w:w="1908" w:type="dxa"/>
                          </w:tcPr>
                          <w:p>
                            <w:pPr>
                              <w:pStyle w:val="TableParagraph"/>
                              <w:rPr>
                                <w:sz w:val="20"/>
                              </w:rPr>
                            </w:pPr>
                            <w:r>
                              <w:rPr>
                                <w:sz w:val="20"/>
                              </w:rPr>
                              <w:t>Kenyamanan</w:t>
                            </w:r>
                            <w:r>
                              <w:rPr>
                                <w:spacing w:val="3"/>
                                <w:sz w:val="20"/>
                              </w:rPr>
                              <w:t> </w:t>
                            </w:r>
                            <w:r>
                              <w:rPr>
                                <w:spacing w:val="-5"/>
                                <w:sz w:val="20"/>
                              </w:rPr>
                              <w:t>dan</w:t>
                            </w:r>
                          </w:p>
                          <w:p>
                            <w:pPr>
                              <w:pStyle w:val="TableParagraph"/>
                              <w:spacing w:line="214" w:lineRule="exact"/>
                              <w:rPr>
                                <w:sz w:val="20"/>
                              </w:rPr>
                            </w:pPr>
                            <w:r>
                              <w:rPr>
                                <w:spacing w:val="-2"/>
                                <w:sz w:val="20"/>
                              </w:rPr>
                              <w:t>Keamanan</w:t>
                            </w:r>
                          </w:p>
                        </w:tc>
                        <w:tc>
                          <w:tcPr>
                            <w:tcW w:w="1045" w:type="dxa"/>
                          </w:tcPr>
                          <w:p>
                            <w:pPr>
                              <w:pStyle w:val="TableParagraph"/>
                              <w:ind w:left="123"/>
                              <w:rPr>
                                <w:sz w:val="20"/>
                              </w:rPr>
                            </w:pPr>
                            <w:r>
                              <w:rPr>
                                <w:spacing w:val="-2"/>
                                <w:sz w:val="20"/>
                              </w:rPr>
                              <w:t>85,71%</w:t>
                            </w:r>
                          </w:p>
                        </w:tc>
                        <w:tc>
                          <w:tcPr>
                            <w:tcW w:w="1151" w:type="dxa"/>
                          </w:tcPr>
                          <w:p>
                            <w:pPr>
                              <w:pStyle w:val="TableParagraph"/>
                              <w:ind w:left="189"/>
                              <w:rPr>
                                <w:sz w:val="20"/>
                              </w:rPr>
                            </w:pPr>
                            <w:r>
                              <w:rPr>
                                <w:spacing w:val="-2"/>
                                <w:sz w:val="20"/>
                              </w:rPr>
                              <w:t>87,14%</w:t>
                            </w:r>
                          </w:p>
                        </w:tc>
                      </w:tr>
                      <w:tr>
                        <w:trPr>
                          <w:trHeight w:val="225" w:hRule="atLeast"/>
                        </w:trPr>
                        <w:tc>
                          <w:tcPr>
                            <w:tcW w:w="1908" w:type="dxa"/>
                          </w:tcPr>
                          <w:p>
                            <w:pPr>
                              <w:pStyle w:val="TableParagraph"/>
                              <w:tabs>
                                <w:tab w:pos="2031" w:val="left" w:leader="none"/>
                              </w:tabs>
                              <w:spacing w:line="206" w:lineRule="exact"/>
                              <w:ind w:left="-70" w:right="-130"/>
                              <w:rPr>
                                <w:sz w:val="20"/>
                              </w:rPr>
                            </w:pPr>
                            <w:r>
                              <w:rPr>
                                <w:spacing w:val="74"/>
                                <w:sz w:val="20"/>
                                <w:u w:val="single" w:color="7E7E7E"/>
                              </w:rPr>
                              <w:t> </w:t>
                            </w:r>
                            <w:r>
                              <w:rPr>
                                <w:sz w:val="20"/>
                                <w:u w:val="single" w:color="7E7E7E"/>
                              </w:rPr>
                              <w:t>Manfaat</w:t>
                            </w:r>
                            <w:r>
                              <w:rPr>
                                <w:spacing w:val="7"/>
                                <w:sz w:val="20"/>
                                <w:u w:val="single" w:color="7E7E7E"/>
                              </w:rPr>
                              <w:t> </w:t>
                            </w:r>
                            <w:r>
                              <w:rPr>
                                <w:spacing w:val="-2"/>
                                <w:sz w:val="20"/>
                                <w:u w:val="single" w:color="7E7E7E"/>
                              </w:rPr>
                              <w:t>Program</w:t>
                            </w:r>
                            <w:r>
                              <w:rPr>
                                <w:sz w:val="20"/>
                                <w:u w:val="single" w:color="7E7E7E"/>
                              </w:rPr>
                              <w:tab/>
                            </w:r>
                          </w:p>
                        </w:tc>
                        <w:tc>
                          <w:tcPr>
                            <w:tcW w:w="1045" w:type="dxa"/>
                          </w:tcPr>
                          <w:p>
                            <w:pPr>
                              <w:pStyle w:val="TableParagraph"/>
                              <w:tabs>
                                <w:tab w:pos="1234" w:val="left" w:leader="none"/>
                              </w:tabs>
                              <w:spacing w:line="206" w:lineRule="exact"/>
                              <w:ind w:left="123" w:right="-202"/>
                              <w:rPr>
                                <w:sz w:val="20"/>
                              </w:rPr>
                            </w:pPr>
                            <w:r>
                              <w:rPr>
                                <w:spacing w:val="-2"/>
                                <w:sz w:val="20"/>
                                <w:u w:val="single" w:color="7E7E7E"/>
                              </w:rPr>
                              <w:t>78,57%</w:t>
                            </w:r>
                            <w:r>
                              <w:rPr>
                                <w:sz w:val="20"/>
                                <w:u w:val="single" w:color="7E7E7E"/>
                              </w:rPr>
                              <w:tab/>
                            </w:r>
                          </w:p>
                        </w:tc>
                        <w:tc>
                          <w:tcPr>
                            <w:tcW w:w="1151" w:type="dxa"/>
                          </w:tcPr>
                          <w:p>
                            <w:pPr>
                              <w:pStyle w:val="TableParagraph"/>
                              <w:tabs>
                                <w:tab w:pos="1199" w:val="left" w:leader="none"/>
                              </w:tabs>
                              <w:spacing w:line="206" w:lineRule="exact"/>
                              <w:ind w:left="189" w:right="-58"/>
                              <w:rPr>
                                <w:sz w:val="20"/>
                              </w:rPr>
                            </w:pPr>
                            <w:r>
                              <w:rPr>
                                <w:spacing w:val="-2"/>
                                <w:sz w:val="20"/>
                                <w:u w:val="single" w:color="7E7E7E"/>
                              </w:rPr>
                              <w:t>80,00%</w:t>
                            </w:r>
                            <w:r>
                              <w:rPr>
                                <w:sz w:val="20"/>
                                <w:u w:val="single" w:color="7E7E7E"/>
                              </w:rPr>
                              <w:tab/>
                            </w:r>
                          </w:p>
                        </w:tc>
                      </w:tr>
                    </w:tbl>
                    <w:p>
                      <w:pPr>
                        <w:pStyle w:val="BodyText"/>
                        <w:jc w:val="left"/>
                      </w:pPr>
                    </w:p>
                  </w:txbxContent>
                </v:textbox>
                <w10:wrap type="none"/>
              </v:shape>
            </w:pict>
          </mc:Fallback>
        </mc:AlternateContent>
      </w:r>
      <w:r>
        <w:rPr>
          <w:b w:val="0"/>
          <w:u w:val="single" w:color="7E7E7E"/>
        </w:rPr>
        <w:tab/>
      </w:r>
      <w:r>
        <w:rPr>
          <w:u w:val="single" w:color="7E7E7E"/>
        </w:rPr>
        <w:t>Tanah</w:t>
      </w:r>
      <w:r>
        <w:rPr>
          <w:spacing w:val="-12"/>
          <w:u w:val="single" w:color="7E7E7E"/>
        </w:rPr>
        <w:t> </w:t>
      </w:r>
      <w:r>
        <w:rPr>
          <w:u w:val="single" w:color="7E7E7E"/>
        </w:rPr>
        <w:t>Kali</w:t>
      </w:r>
      <w:r>
        <w:rPr>
          <w:spacing w:val="-6"/>
          <w:u w:val="single" w:color="7E7E7E"/>
        </w:rPr>
        <w:t> </w:t>
      </w:r>
      <w:r>
        <w:rPr>
          <w:spacing w:val="-2"/>
          <w:u w:val="single" w:color="7E7E7E"/>
        </w:rPr>
        <w:t>Kedinding</w:t>
      </w:r>
      <w:r>
        <w:rPr>
          <w:u w:val="single" w:color="7E7E7E"/>
        </w:rPr>
        <w:tab/>
      </w:r>
    </w:p>
    <w:p>
      <w:pPr>
        <w:pStyle w:val="BodyText"/>
        <w:spacing w:before="81"/>
        <w:ind w:left="668" w:right="281" w:hanging="291"/>
      </w:pPr>
      <w:r>
        <w:rPr/>
        <w:br w:type="column"/>
      </w:r>
      <w:r>
        <w:rPr/>
        <w:t>Sumber: Data primer yang telah diolah tahun 2026 Hasil</w:t>
      </w:r>
      <w:r>
        <w:rPr>
          <w:spacing w:val="-6"/>
        </w:rPr>
        <w:t> </w:t>
      </w:r>
      <w:r>
        <w:rPr/>
        <w:t>analisis</w:t>
      </w:r>
      <w:r>
        <w:rPr>
          <w:spacing w:val="-8"/>
        </w:rPr>
        <w:t> </w:t>
      </w:r>
      <w:r>
        <w:rPr/>
        <w:t>menunjukkan</w:t>
      </w:r>
      <w:r>
        <w:rPr>
          <w:spacing w:val="-10"/>
        </w:rPr>
        <w:t> </w:t>
      </w:r>
      <w:r>
        <w:rPr/>
        <w:t>bahwa</w:t>
      </w:r>
      <w:r>
        <w:rPr>
          <w:spacing w:val="-8"/>
        </w:rPr>
        <w:t> </w:t>
      </w:r>
      <w:r>
        <w:rPr/>
        <w:t>masyarakat</w:t>
      </w:r>
      <w:r>
        <w:rPr>
          <w:spacing w:val="-5"/>
        </w:rPr>
        <w:t> di</w:t>
      </w:r>
    </w:p>
    <w:p>
      <w:pPr>
        <w:pStyle w:val="BodyText"/>
        <w:ind w:left="228" w:right="273"/>
      </w:pPr>
      <w:r>
        <w:rPr/>
        <w:t>Kelurahan Genteng dan Kelurahan Tanah Kali Kedinding</w:t>
      </w:r>
      <w:r>
        <w:rPr>
          <w:spacing w:val="-6"/>
        </w:rPr>
        <w:t> </w:t>
      </w:r>
      <w:r>
        <w:rPr/>
        <w:t>memiliki</w:t>
      </w:r>
      <w:r>
        <w:rPr>
          <w:spacing w:val="-12"/>
        </w:rPr>
        <w:t> </w:t>
      </w:r>
      <w:r>
        <w:rPr/>
        <w:t>persepsi</w:t>
      </w:r>
      <w:r>
        <w:rPr>
          <w:spacing w:val="-3"/>
        </w:rPr>
        <w:t> </w:t>
      </w:r>
      <w:r>
        <w:rPr/>
        <w:t>positif</w:t>
      </w:r>
      <w:r>
        <w:rPr>
          <w:spacing w:val="-4"/>
        </w:rPr>
        <w:t> </w:t>
      </w:r>
      <w:r>
        <w:rPr/>
        <w:t>terhadap</w:t>
      </w:r>
      <w:r>
        <w:rPr>
          <w:spacing w:val="-6"/>
        </w:rPr>
        <w:t> </w:t>
      </w:r>
      <w:r>
        <w:rPr/>
        <w:t>Program Perbaikan Rumah. Kelurahan Tanah Kali Kedinding menunjukkan persentase persepsi yang lebih tinggi pada seluruh indikator dibandingkan Kelurahan Genteng, meliputi pelaksanaan program (90,95%), perubahan</w:t>
      </w:r>
      <w:r>
        <w:rPr>
          <w:spacing w:val="-5"/>
        </w:rPr>
        <w:t> </w:t>
      </w:r>
      <w:r>
        <w:rPr/>
        <w:t>kondisi</w:t>
      </w:r>
      <w:r>
        <w:rPr>
          <w:spacing w:val="-1"/>
        </w:rPr>
        <w:t> </w:t>
      </w:r>
      <w:r>
        <w:rPr/>
        <w:t>fisik</w:t>
      </w:r>
      <w:r>
        <w:rPr>
          <w:spacing w:val="-5"/>
        </w:rPr>
        <w:t> </w:t>
      </w:r>
      <w:r>
        <w:rPr/>
        <w:t>rumah</w:t>
      </w:r>
      <w:r>
        <w:rPr>
          <w:spacing w:val="-5"/>
        </w:rPr>
        <w:t> </w:t>
      </w:r>
      <w:r>
        <w:rPr/>
        <w:t>(84,37%),</w:t>
      </w:r>
      <w:r>
        <w:rPr>
          <w:spacing w:val="-5"/>
        </w:rPr>
        <w:t> </w:t>
      </w:r>
      <w:r>
        <w:rPr/>
        <w:t>kenyamanan dan keamanan (87,14%), manfaat program </w:t>
      </w:r>
      <w:r>
        <w:rPr/>
        <w:t>(80,00%), serta kepuasan dan keberlanjutan program (90,00%). Sementara itu, Kelurahan Genteng memperoleh persentase</w:t>
      </w:r>
      <w:r>
        <w:rPr>
          <w:spacing w:val="41"/>
        </w:rPr>
        <w:t> </w:t>
      </w:r>
      <w:r>
        <w:rPr/>
        <w:t>masing-masing</w:t>
      </w:r>
      <w:r>
        <w:rPr>
          <w:spacing w:val="40"/>
        </w:rPr>
        <w:t> </w:t>
      </w:r>
      <w:r>
        <w:rPr/>
        <w:t>sebesar</w:t>
      </w:r>
      <w:r>
        <w:rPr>
          <w:spacing w:val="45"/>
        </w:rPr>
        <w:t> </w:t>
      </w:r>
      <w:r>
        <w:rPr/>
        <w:t>87,14%,</w:t>
      </w:r>
      <w:r>
        <w:rPr>
          <w:spacing w:val="41"/>
        </w:rPr>
        <w:t> </w:t>
      </w:r>
      <w:r>
        <w:rPr>
          <w:spacing w:val="-2"/>
        </w:rPr>
        <w:t>80,00%,</w:t>
      </w:r>
    </w:p>
    <w:p>
      <w:pPr>
        <w:pStyle w:val="BodyText"/>
        <w:spacing w:before="2"/>
        <w:ind w:left="228"/>
      </w:pPr>
      <w:r>
        <w:rPr/>
        <w:t>85,71%,</w:t>
      </w:r>
      <w:r>
        <w:rPr>
          <w:spacing w:val="2"/>
        </w:rPr>
        <w:t> </w:t>
      </w:r>
      <w:r>
        <w:rPr/>
        <w:t>78,57%,</w:t>
      </w:r>
      <w:r>
        <w:rPr>
          <w:spacing w:val="2"/>
        </w:rPr>
        <w:t> </w:t>
      </w:r>
      <w:r>
        <w:rPr/>
        <w:t>dan</w:t>
      </w:r>
      <w:r>
        <w:rPr>
          <w:spacing w:val="3"/>
        </w:rPr>
        <w:t> </w:t>
      </w:r>
      <w:r>
        <w:rPr>
          <w:spacing w:val="-2"/>
        </w:rPr>
        <w:t>85,00%.</w:t>
      </w:r>
    </w:p>
    <w:p>
      <w:pPr>
        <w:pStyle w:val="Heading2"/>
        <w:ind w:left="668"/>
        <w:jc w:val="both"/>
      </w:pPr>
      <w:r>
        <w:rPr/>
        <w:t>Gambar</w:t>
      </w:r>
      <w:r>
        <w:rPr>
          <w:spacing w:val="-2"/>
        </w:rPr>
        <w:t> </w:t>
      </w:r>
      <w:r>
        <w:rPr/>
        <w:t>3</w:t>
      </w:r>
      <w:r>
        <w:rPr>
          <w:spacing w:val="-2"/>
        </w:rPr>
        <w:t> </w:t>
      </w:r>
      <w:r>
        <w:rPr/>
        <w:t>Uji</w:t>
      </w:r>
      <w:r>
        <w:rPr>
          <w:spacing w:val="2"/>
        </w:rPr>
        <w:t> </w:t>
      </w:r>
      <w:r>
        <w:rPr/>
        <w:t>Independent</w:t>
      </w:r>
      <w:r>
        <w:rPr>
          <w:spacing w:val="1"/>
        </w:rPr>
        <w:t> </w:t>
      </w:r>
      <w:r>
        <w:rPr/>
        <w:t>Sample</w:t>
      </w:r>
      <w:r>
        <w:rPr>
          <w:spacing w:val="-1"/>
        </w:rPr>
        <w:t> </w:t>
      </w:r>
      <w:r>
        <w:rPr/>
        <w:t>t-</w:t>
      </w:r>
      <w:r>
        <w:rPr>
          <w:spacing w:val="-4"/>
        </w:rPr>
        <w:t>Test</w:t>
      </w:r>
    </w:p>
    <w:p>
      <w:pPr>
        <w:spacing w:line="240" w:lineRule="auto"/>
        <w:ind w:left="307" w:right="0" w:firstLine="0"/>
        <w:rPr>
          <w:sz w:val="20"/>
        </w:rPr>
      </w:pPr>
      <w:r>
        <w:rPr>
          <w:sz w:val="20"/>
        </w:rPr>
        <mc:AlternateContent>
          <mc:Choice Requires="wps">
            <w:drawing>
              <wp:inline distT="0" distB="0" distL="0" distR="0">
                <wp:extent cx="2750185" cy="1137285"/>
                <wp:effectExtent l="0" t="0" r="0" b="5715"/>
                <wp:docPr id="13" name="Group 13"/>
                <wp:cNvGraphicFramePr>
                  <a:graphicFrameLocks/>
                </wp:cNvGraphicFramePr>
                <a:graphic>
                  <a:graphicData uri="http://schemas.microsoft.com/office/word/2010/wordprocessingGroup">
                    <wpg:wgp>
                      <wpg:cNvPr id="13" name="Group 13"/>
                      <wpg:cNvGrpSpPr/>
                      <wpg:grpSpPr>
                        <a:xfrm>
                          <a:off x="0" y="0"/>
                          <a:ext cx="2750185" cy="1137285"/>
                          <a:chExt cx="2750185" cy="1137285"/>
                        </a:xfrm>
                      </wpg:grpSpPr>
                      <pic:pic>
                        <pic:nvPicPr>
                          <pic:cNvPr id="14" name="Image 14"/>
                          <pic:cNvPicPr/>
                        </pic:nvPicPr>
                        <pic:blipFill>
                          <a:blip r:embed="rId12" cstate="print"/>
                          <a:stretch>
                            <a:fillRect/>
                          </a:stretch>
                        </pic:blipFill>
                        <pic:spPr>
                          <a:xfrm>
                            <a:off x="0" y="0"/>
                            <a:ext cx="2442083" cy="590550"/>
                          </a:xfrm>
                          <a:prstGeom prst="rect">
                            <a:avLst/>
                          </a:prstGeom>
                        </pic:spPr>
                      </pic:pic>
                      <pic:pic>
                        <pic:nvPicPr>
                          <pic:cNvPr id="15" name="Image 15"/>
                          <pic:cNvPicPr/>
                        </pic:nvPicPr>
                        <pic:blipFill>
                          <a:blip r:embed="rId13" cstate="print"/>
                          <a:stretch>
                            <a:fillRect/>
                          </a:stretch>
                        </pic:blipFill>
                        <pic:spPr>
                          <a:xfrm>
                            <a:off x="0" y="593598"/>
                            <a:ext cx="2749677" cy="543560"/>
                          </a:xfrm>
                          <a:prstGeom prst="rect">
                            <a:avLst/>
                          </a:prstGeom>
                        </pic:spPr>
                      </pic:pic>
                    </wpg:wgp>
                  </a:graphicData>
                </a:graphic>
              </wp:inline>
            </w:drawing>
          </mc:Choice>
          <mc:Fallback>
            <w:pict>
              <v:group style="width:216.55pt;height:89.55pt;mso-position-horizontal-relative:char;mso-position-vertical-relative:line" id="docshapegroup6" coordorigin="0,0" coordsize="4331,1791">
                <v:shape style="position:absolute;left:0;top:0;width:3846;height:930" type="#_x0000_t75" id="docshape7" stroked="false">
                  <v:imagedata r:id="rId12" o:title=""/>
                </v:shape>
                <v:shape style="position:absolute;left:0;top:934;width:4331;height:856" type="#_x0000_t75" id="docshape8" stroked="false">
                  <v:imagedata r:id="rId13" o:title=""/>
                </v:shape>
              </v:group>
            </w:pict>
          </mc:Fallback>
        </mc:AlternateContent>
      </w:r>
      <w:r>
        <w:rPr>
          <w:sz w:val="20"/>
        </w:rPr>
      </w:r>
    </w:p>
    <w:p>
      <w:pPr>
        <w:pStyle w:val="BodyText"/>
        <w:jc w:val="left"/>
        <w:rPr>
          <w:b/>
        </w:rPr>
      </w:pPr>
    </w:p>
    <w:p>
      <w:pPr>
        <w:pStyle w:val="BodyText"/>
        <w:spacing w:before="1"/>
        <w:ind w:left="668" w:right="274" w:hanging="410"/>
      </w:pPr>
      <w:r>
        <w:rPr/>
        <w:t>Sumber: Data primer yang telah diolah tahun 2026 Hasil</w:t>
      </w:r>
      <w:r>
        <w:rPr>
          <w:spacing w:val="54"/>
        </w:rPr>
        <w:t>   </w:t>
      </w:r>
      <w:r>
        <w:rPr/>
        <w:t>uji</w:t>
      </w:r>
      <w:r>
        <w:rPr>
          <w:spacing w:val="55"/>
        </w:rPr>
        <w:t>   </w:t>
      </w:r>
      <w:r>
        <w:rPr/>
        <w:t>Independent</w:t>
      </w:r>
      <w:r>
        <w:rPr>
          <w:spacing w:val="54"/>
        </w:rPr>
        <w:t>   </w:t>
      </w:r>
      <w:r>
        <w:rPr/>
        <w:t>Sample</w:t>
      </w:r>
      <w:r>
        <w:rPr>
          <w:spacing w:val="76"/>
          <w:w w:val="150"/>
        </w:rPr>
        <w:t>  </w:t>
      </w:r>
      <w:r>
        <w:rPr/>
        <w:t>t-</w:t>
      </w:r>
      <w:r>
        <w:rPr>
          <w:spacing w:val="-4"/>
        </w:rPr>
        <w:t>Test</w:t>
      </w:r>
    </w:p>
    <w:p>
      <w:pPr>
        <w:pStyle w:val="BodyText"/>
        <w:ind w:left="278" w:right="271"/>
      </w:pPr>
      <w:r>
        <w:rPr/>
        <w:t>menunjukkan bahwa rata-rata persepsi masyarakat Kelurahan Genteng sebesar 44,86, sedangkan Kelurahan Tanah Kali Kedinding sebesar 47,86. Berdasarkan Levene’s Test diperoleh nilai signifikansi 0,372 (&gt;0,05), sehingga data memiliki varians yang</w:t>
      </w:r>
      <w:r>
        <w:rPr>
          <w:spacing w:val="-4"/>
        </w:rPr>
        <w:t> </w:t>
      </w:r>
      <w:r>
        <w:rPr/>
        <w:t>homogen. Hasil uji t menunjukkan nilai Sig. (2-tailed) sebesar 0,240 (&gt;0,05), sehingga H₀ diterima dan H₁ ditolak. Dengan demikian, tidak terdapat perbedaan persepsi yang signifikan antara masyarakat penerima manfaat Program Perbaikan Rumah di kedua kelurahan. wilayah.</w:t>
      </w:r>
    </w:p>
    <w:p>
      <w:pPr>
        <w:pStyle w:val="BodyText"/>
        <w:spacing w:before="2"/>
        <w:jc w:val="left"/>
      </w:pPr>
    </w:p>
    <w:p>
      <w:pPr>
        <w:pStyle w:val="Heading2"/>
        <w:numPr>
          <w:ilvl w:val="0"/>
          <w:numId w:val="1"/>
        </w:numPr>
        <w:tabs>
          <w:tab w:pos="276" w:val="left" w:leader="none"/>
          <w:tab w:pos="278" w:val="left" w:leader="none"/>
        </w:tabs>
        <w:spacing w:line="240" w:lineRule="auto" w:before="0" w:after="0"/>
        <w:ind w:left="278" w:right="529" w:hanging="201"/>
        <w:jc w:val="left"/>
      </w:pPr>
      <w:r>
        <w:rPr/>
        <w:t>Faktor-Faaktor yang Memengaruhi Persepsi Masyarakat Penerima Manfaat Program di Kelurahan</w:t>
      </w:r>
      <w:r>
        <w:rPr>
          <w:spacing w:val="-8"/>
        </w:rPr>
        <w:t> </w:t>
      </w:r>
      <w:r>
        <w:rPr/>
        <w:t>Genteng</w:t>
      </w:r>
      <w:r>
        <w:rPr>
          <w:spacing w:val="-6"/>
        </w:rPr>
        <w:t> </w:t>
      </w:r>
      <w:r>
        <w:rPr/>
        <w:t>dan</w:t>
      </w:r>
      <w:r>
        <w:rPr>
          <w:spacing w:val="-8"/>
        </w:rPr>
        <w:t> </w:t>
      </w:r>
      <w:r>
        <w:rPr/>
        <w:t>Kelurahan</w:t>
      </w:r>
      <w:r>
        <w:rPr>
          <w:spacing w:val="-8"/>
        </w:rPr>
        <w:t> </w:t>
      </w:r>
      <w:r>
        <w:rPr/>
        <w:t>Tanah</w:t>
      </w:r>
      <w:r>
        <w:rPr>
          <w:spacing w:val="-8"/>
        </w:rPr>
        <w:t> </w:t>
      </w:r>
      <w:r>
        <w:rPr/>
        <w:t>Kali </w:t>
      </w:r>
      <w:r>
        <w:rPr>
          <w:spacing w:val="-2"/>
        </w:rPr>
        <w:t>Kedinding</w:t>
      </w:r>
    </w:p>
    <w:p>
      <w:pPr>
        <w:pStyle w:val="ListParagraph"/>
        <w:numPr>
          <w:ilvl w:val="1"/>
          <w:numId w:val="1"/>
        </w:numPr>
        <w:tabs>
          <w:tab w:pos="276" w:val="left" w:leader="none"/>
        </w:tabs>
        <w:spacing w:line="240" w:lineRule="auto" w:before="61" w:after="0"/>
        <w:ind w:left="276" w:right="0" w:hanging="199"/>
        <w:jc w:val="left"/>
        <w:rPr>
          <w:b/>
          <w:sz w:val="20"/>
        </w:rPr>
      </w:pPr>
      <w:r>
        <w:rPr>
          <w:b/>
          <w:sz w:val="20"/>
        </w:rPr>
        <w:t>Karakteristik</w:t>
      </w:r>
      <w:r>
        <w:rPr>
          <w:b/>
          <w:spacing w:val="-3"/>
          <w:sz w:val="20"/>
        </w:rPr>
        <w:t> </w:t>
      </w:r>
      <w:r>
        <w:rPr>
          <w:b/>
          <w:spacing w:val="-2"/>
          <w:sz w:val="20"/>
        </w:rPr>
        <w:t>Wilayah</w:t>
      </w:r>
    </w:p>
    <w:p>
      <w:pPr>
        <w:pStyle w:val="BodyText"/>
        <w:ind w:left="278" w:right="270"/>
      </w:pPr>
      <w:r>
        <w:rPr/>
        <w:t>Hasil observasi menunjukkan bahwa Kelurahan Genteng merupakan kawasan pusat kota dengan kepadatan bangunan dan penduduk yang tinggi, sedangkan Kelurahan Tanah Kali Kedinding merupakan kawasan pinggiran/pesisir yang rentan terhadap banjir rob dan genangan. </w:t>
      </w:r>
      <w:r>
        <w:rPr/>
        <w:t>Perbedaan karakteristik wilayah tersebut memengaruhi persepsi masyarakat terhadap manfaat Program Perbaikan </w:t>
      </w:r>
      <w:r>
        <w:rPr>
          <w:spacing w:val="-2"/>
        </w:rPr>
        <w:t>Rumah.</w:t>
      </w:r>
    </w:p>
    <w:p>
      <w:pPr>
        <w:pStyle w:val="BodyText"/>
        <w:spacing w:before="1"/>
        <w:jc w:val="left"/>
      </w:pPr>
    </w:p>
    <w:p>
      <w:pPr>
        <w:pStyle w:val="Heading2"/>
        <w:numPr>
          <w:ilvl w:val="1"/>
          <w:numId w:val="1"/>
        </w:numPr>
        <w:tabs>
          <w:tab w:pos="276" w:val="left" w:leader="none"/>
        </w:tabs>
        <w:spacing w:line="240" w:lineRule="auto" w:before="0" w:after="0"/>
        <w:ind w:left="276" w:right="0" w:hanging="199"/>
        <w:jc w:val="both"/>
      </w:pPr>
      <w:r>
        <w:rPr/>
        <w:t>Kondisi Sosial</w:t>
      </w:r>
      <w:r>
        <w:rPr>
          <w:spacing w:val="1"/>
        </w:rPr>
        <w:t> </w:t>
      </w:r>
      <w:r>
        <w:rPr/>
        <w:t>Ekonomi</w:t>
      </w:r>
      <w:r>
        <w:rPr>
          <w:spacing w:val="-8"/>
        </w:rPr>
        <w:t> </w:t>
      </w:r>
      <w:r>
        <w:rPr>
          <w:spacing w:val="-2"/>
        </w:rPr>
        <w:t>Masyarakat</w:t>
      </w:r>
    </w:p>
    <w:p>
      <w:pPr>
        <w:pStyle w:val="BodyText"/>
        <w:spacing w:before="1"/>
        <w:ind w:left="278" w:right="273"/>
      </w:pPr>
      <w:r>
        <w:rPr/>
        <w:t>Penerima manfaat di kedua kelurahan didominasi masyarakat berpenghasilan</w:t>
      </w:r>
      <w:r>
        <w:rPr>
          <w:spacing w:val="-4"/>
        </w:rPr>
        <w:t> </w:t>
      </w:r>
      <w:r>
        <w:rPr/>
        <w:t>menengah</w:t>
      </w:r>
      <w:r>
        <w:rPr>
          <w:spacing w:val="-4"/>
        </w:rPr>
        <w:t> </w:t>
      </w:r>
      <w:r>
        <w:rPr/>
        <w:t>ke</w:t>
      </w:r>
      <w:r>
        <w:rPr>
          <w:spacing w:val="-3"/>
        </w:rPr>
        <w:t> </w:t>
      </w:r>
      <w:r>
        <w:rPr/>
        <w:t>bawah</w:t>
      </w:r>
      <w:r>
        <w:rPr>
          <w:spacing w:val="-4"/>
        </w:rPr>
        <w:t> </w:t>
      </w:r>
      <w:r>
        <w:rPr/>
        <w:t>yang bekerja di sektor informal, serta sebagian</w:t>
      </w:r>
      <w:r>
        <w:rPr>
          <w:spacing w:val="-1"/>
        </w:rPr>
        <w:t> </w:t>
      </w:r>
      <w:r>
        <w:rPr/>
        <w:t>merupakan lansia. Keterbatasan ekonomi menyebabkan masyarakat</w:t>
      </w:r>
      <w:r>
        <w:rPr>
          <w:spacing w:val="-8"/>
        </w:rPr>
        <w:t> </w:t>
      </w:r>
      <w:r>
        <w:rPr/>
        <w:t>belum</w:t>
      </w:r>
      <w:r>
        <w:rPr>
          <w:spacing w:val="-13"/>
        </w:rPr>
        <w:t> </w:t>
      </w:r>
      <w:r>
        <w:rPr/>
        <w:t>mampu</w:t>
      </w:r>
      <w:r>
        <w:rPr>
          <w:spacing w:val="-12"/>
        </w:rPr>
        <w:t> </w:t>
      </w:r>
      <w:r>
        <w:rPr/>
        <w:t>memperbaiki</w:t>
      </w:r>
      <w:r>
        <w:rPr>
          <w:spacing w:val="-5"/>
        </w:rPr>
        <w:t> </w:t>
      </w:r>
      <w:r>
        <w:rPr/>
        <w:t>rumah</w:t>
      </w:r>
      <w:r>
        <w:rPr>
          <w:spacing w:val="-8"/>
        </w:rPr>
        <w:t> </w:t>
      </w:r>
      <w:r>
        <w:rPr/>
        <w:t>secara mandiri,</w:t>
      </w:r>
      <w:r>
        <w:rPr>
          <w:spacing w:val="59"/>
        </w:rPr>
        <w:t>  </w:t>
      </w:r>
      <w:r>
        <w:rPr/>
        <w:t>sehingga</w:t>
      </w:r>
      <w:r>
        <w:rPr>
          <w:spacing w:val="63"/>
        </w:rPr>
        <w:t>  </w:t>
      </w:r>
      <w:r>
        <w:rPr/>
        <w:t>program</w:t>
      </w:r>
      <w:r>
        <w:rPr>
          <w:spacing w:val="62"/>
        </w:rPr>
        <w:t>  </w:t>
      </w:r>
      <w:r>
        <w:rPr/>
        <w:t>dinilai</w:t>
      </w:r>
      <w:r>
        <w:rPr>
          <w:spacing w:val="62"/>
        </w:rPr>
        <w:t>  </w:t>
      </w:r>
      <w:r>
        <w:rPr>
          <w:spacing w:val="-2"/>
        </w:rPr>
        <w:t>membantu</w:t>
      </w:r>
    </w:p>
    <w:p>
      <w:pPr>
        <w:pStyle w:val="BodyText"/>
        <w:spacing w:after="0"/>
        <w:sectPr>
          <w:pgSz w:w="11910" w:h="16830"/>
          <w:pgMar w:header="442" w:footer="729" w:top="1300" w:bottom="920" w:left="1133" w:right="850"/>
          <w:cols w:num="2" w:equalWidth="0">
            <w:col w:w="4682" w:space="372"/>
            <w:col w:w="4873"/>
          </w:cols>
        </w:sectPr>
      </w:pPr>
    </w:p>
    <w:p>
      <w:pPr>
        <w:pStyle w:val="BodyText"/>
        <w:spacing w:before="81"/>
        <w:ind w:left="328"/>
      </w:pPr>
      <w:r>
        <w:rPr/>
        <w:t>meningkatkan</w:t>
      </w:r>
      <w:r>
        <w:rPr>
          <w:spacing w:val="1"/>
        </w:rPr>
        <w:t> </w:t>
      </w:r>
      <w:r>
        <w:rPr/>
        <w:t>kelayakan</w:t>
      </w:r>
      <w:r>
        <w:rPr>
          <w:spacing w:val="2"/>
        </w:rPr>
        <w:t> </w:t>
      </w:r>
      <w:r>
        <w:rPr>
          <w:spacing w:val="-2"/>
        </w:rPr>
        <w:t>hunian.</w:t>
      </w:r>
    </w:p>
    <w:p>
      <w:pPr>
        <w:pStyle w:val="BodyText"/>
        <w:jc w:val="left"/>
      </w:pPr>
    </w:p>
    <w:p>
      <w:pPr>
        <w:pStyle w:val="Heading2"/>
        <w:numPr>
          <w:ilvl w:val="1"/>
          <w:numId w:val="1"/>
        </w:numPr>
        <w:tabs>
          <w:tab w:pos="326" w:val="left" w:leader="none"/>
        </w:tabs>
        <w:spacing w:line="240" w:lineRule="auto" w:before="0" w:after="0"/>
        <w:ind w:left="326" w:right="0" w:hanging="199"/>
        <w:jc w:val="both"/>
      </w:pPr>
      <w:r>
        <w:rPr/>
        <w:t>Kondisi Lingkungan</w:t>
      </w:r>
      <w:r>
        <w:rPr>
          <w:spacing w:val="-5"/>
        </w:rPr>
        <w:t> </w:t>
      </w:r>
      <w:r>
        <w:rPr>
          <w:spacing w:val="-2"/>
        </w:rPr>
        <w:t>Permukiman</w:t>
      </w:r>
    </w:p>
    <w:p>
      <w:pPr>
        <w:pStyle w:val="BodyText"/>
        <w:spacing w:before="1"/>
        <w:ind w:left="328" w:right="39"/>
      </w:pPr>
      <w:r>
        <w:rPr/>
        <w:t>Lingkungan permukiman di Kelurahan Genteng didominasi bangunan yang berhimpitan dengan kualitas fisik rumah yang sebelumnya kurang layak. Sementara itu, Kelurahan Tanah Kali Kedinding menghadapi kerentanan genangan akibat kondisi drainase, sehingga perbaikan rumah dinilai meningkatkan kenyamanan dan keamanan hunian.</w:t>
      </w:r>
    </w:p>
    <w:p>
      <w:pPr>
        <w:pStyle w:val="BodyText"/>
        <w:spacing w:before="1"/>
        <w:jc w:val="left"/>
      </w:pPr>
    </w:p>
    <w:p>
      <w:pPr>
        <w:pStyle w:val="Heading1"/>
        <w:spacing w:before="0"/>
      </w:pPr>
      <w:r>
        <w:rPr>
          <w:spacing w:val="-2"/>
        </w:rPr>
        <w:t>PEMBAHASAN</w:t>
      </w:r>
    </w:p>
    <w:p>
      <w:pPr>
        <w:pStyle w:val="BodyText"/>
        <w:ind w:left="127" w:right="41" w:firstLine="590"/>
      </w:pPr>
      <w:r>
        <w:rPr/>
        <w:drawing>
          <wp:anchor distT="0" distB="0" distL="0" distR="0" allowOverlap="1" layoutInCell="1" locked="0" behindDoc="1" simplePos="0" relativeHeight="487188480">
            <wp:simplePos x="0" y="0"/>
            <wp:positionH relativeFrom="page">
              <wp:posOffset>1860189</wp:posOffset>
            </wp:positionH>
            <wp:positionV relativeFrom="paragraph">
              <wp:posOffset>371388</wp:posOffset>
            </wp:positionV>
            <wp:extent cx="3841835" cy="4687953"/>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9" cstate="print"/>
                    <a:stretch>
                      <a:fillRect/>
                    </a:stretch>
                  </pic:blipFill>
                  <pic:spPr>
                    <a:xfrm>
                      <a:off x="0" y="0"/>
                      <a:ext cx="3841835" cy="4687953"/>
                    </a:xfrm>
                    <a:prstGeom prst="rect">
                      <a:avLst/>
                    </a:prstGeom>
                  </pic:spPr>
                </pic:pic>
              </a:graphicData>
            </a:graphic>
          </wp:anchor>
        </w:drawing>
      </w:r>
      <w:r>
        <w:rPr/>
        <w:t>Hasil penelitian menunjukkan bahwa persepsi masyarakat terhadap Program Perbaikan Rumah di Kelurahan Genteng maupun Kelurahan Tanah Kali Kedinding berada pada kategori baik pada seluruh indikator yang dikaji, yaitu pelaksanaan program, perubahan kondisi fisik rumah, kenyamanan dan keamanan, manfaat program, serta kepuasan dan keberlanjutan program. Tingginya penilaian pada aspek pelaksanaan program menunjukkan bahwa mekanisme program telah berjalan sesuai prosedur, mulai dari penyampaian informasi melalui RT/RW, proses identifikasi calon penerima, survei kondisi rumah, hingga pelaksanaan renovasi. Keterlibatan masyarakat dalam setiap tahapan tersebut menunjukkan bahwa pelaksanaan program tidak hanya berorientasi pada pembangunan fisik, tetapi juga memperhatikan partisipasi masyarakat sebagai penerima manfaat, sehingga program lebih sesuai dengan kebutuhan </w:t>
      </w:r>
      <w:r>
        <w:rPr>
          <w:spacing w:val="-2"/>
        </w:rPr>
        <w:t>masyarakat.</w:t>
      </w:r>
    </w:p>
    <w:p>
      <w:pPr>
        <w:pStyle w:val="BodyText"/>
        <w:spacing w:before="3"/>
        <w:ind w:left="127" w:right="38" w:firstLine="430"/>
      </w:pPr>
      <w:r>
        <w:rPr/>
        <w:t>Perubahan kondisi fisik rumah menjadi faktor utama yang membentuk persepsi positif masyarakat terhadap program. Sebelum memperoleh bantuan, sebagian besar rumah penerima manfaat mengalami kerusakan pada atap, lantai, dinding, maupun fasilitas sanitasi yang menurunkan kualitas hunian. Setelah program dilaksanakan, perbaikan pada elemen-elemen tersebut meningkatkan kelayakan rumah sehingga masyarakat merasakan perubahan nyata terhadap kenyamanan dan keamanan tempat tinggal. Temuan ini sesuai dengan penelitian (Ismasudayanti et al., 2024) yang</w:t>
      </w:r>
      <w:r>
        <w:rPr>
          <w:spacing w:val="-13"/>
        </w:rPr>
        <w:t> </w:t>
      </w:r>
      <w:r>
        <w:rPr/>
        <w:t>menunjukkan</w:t>
      </w:r>
      <w:r>
        <w:rPr>
          <w:spacing w:val="-12"/>
        </w:rPr>
        <w:t> </w:t>
      </w:r>
      <w:r>
        <w:rPr/>
        <w:t>bahwa</w:t>
      </w:r>
      <w:r>
        <w:rPr>
          <w:spacing w:val="-13"/>
        </w:rPr>
        <w:t> </w:t>
      </w:r>
      <w:r>
        <w:rPr/>
        <w:t>rehabilitasi</w:t>
      </w:r>
      <w:r>
        <w:rPr>
          <w:spacing w:val="-12"/>
        </w:rPr>
        <w:t> </w:t>
      </w:r>
      <w:r>
        <w:rPr/>
        <w:t>rumah</w:t>
      </w:r>
      <w:r>
        <w:rPr>
          <w:spacing w:val="-13"/>
        </w:rPr>
        <w:t> </w:t>
      </w:r>
      <w:r>
        <w:rPr/>
        <w:t>tidak</w:t>
      </w:r>
      <w:r>
        <w:rPr>
          <w:spacing w:val="-12"/>
        </w:rPr>
        <w:t> </w:t>
      </w:r>
      <w:r>
        <w:rPr/>
        <w:t>hanya berdampak pada kondisi bangunan tetapi juga aspek lingkungan dan sosial masyarakat. Kebutuhan akan rumah tinggal yang layak huni adalah suatu strategi dalam upaya peningkatan derajat kesehatan dan penciptaan lingkungan yang sehat dan aman. (Khoirunnisa &amp; Salomo, 2019). Meskipun demikian, masih ditemukan beberapa rumah yang mengalami kendala pascarenovasi, seperti kebocoran atap, yang menunjukkan pentingnya pengawasan</w:t>
      </w:r>
      <w:r>
        <w:rPr>
          <w:spacing w:val="-3"/>
        </w:rPr>
        <w:t> </w:t>
      </w:r>
      <w:r>
        <w:rPr/>
        <w:t>terhadap kualitas hasil pekerjaan agar manfaat program dapat </w:t>
      </w:r>
      <w:r>
        <w:rPr>
          <w:spacing w:val="-2"/>
        </w:rPr>
        <w:t>berkelanjutan.</w:t>
      </w:r>
    </w:p>
    <w:p>
      <w:pPr>
        <w:pStyle w:val="BodyText"/>
        <w:spacing w:before="4"/>
        <w:ind w:left="127" w:right="44" w:firstLine="430"/>
      </w:pPr>
      <w:r>
        <w:rPr/>
        <w:t>Dalam kajian geografi, suatu wilayah memiliki karakteristik yang berbeda berdasarkan kondisi fisik, sosial,</w:t>
      </w:r>
      <w:r>
        <w:rPr>
          <w:spacing w:val="-5"/>
        </w:rPr>
        <w:t> </w:t>
      </w:r>
      <w:r>
        <w:rPr/>
        <w:t>dan</w:t>
      </w:r>
      <w:r>
        <w:rPr>
          <w:spacing w:val="-5"/>
        </w:rPr>
        <w:t> </w:t>
      </w:r>
      <w:r>
        <w:rPr/>
        <w:t>lingkungan</w:t>
      </w:r>
      <w:r>
        <w:rPr>
          <w:spacing w:val="-5"/>
        </w:rPr>
        <w:t> </w:t>
      </w:r>
      <w:r>
        <w:rPr/>
        <w:t>yang</w:t>
      </w:r>
      <w:r>
        <w:rPr>
          <w:spacing w:val="-5"/>
        </w:rPr>
        <w:t> </w:t>
      </w:r>
      <w:r>
        <w:rPr/>
        <w:t>membentuk</w:t>
      </w:r>
      <w:r>
        <w:rPr>
          <w:spacing w:val="-5"/>
        </w:rPr>
        <w:t> </w:t>
      </w:r>
      <w:r>
        <w:rPr/>
        <w:t>pola</w:t>
      </w:r>
      <w:r>
        <w:rPr>
          <w:spacing w:val="-4"/>
        </w:rPr>
        <w:t> </w:t>
      </w:r>
      <w:r>
        <w:rPr/>
        <w:t>kehidupan masyarakat di dalamnya. Menurut Yunus (2008), permukiman merupakan</w:t>
      </w:r>
      <w:r>
        <w:rPr>
          <w:spacing w:val="-1"/>
        </w:rPr>
        <w:t> </w:t>
      </w:r>
      <w:r>
        <w:rPr/>
        <w:t>suatu</w:t>
      </w:r>
      <w:r>
        <w:rPr>
          <w:spacing w:val="-1"/>
        </w:rPr>
        <w:t> </w:t>
      </w:r>
      <w:r>
        <w:rPr/>
        <w:t>sistem ruang</w:t>
      </w:r>
      <w:r>
        <w:rPr>
          <w:spacing w:val="-1"/>
        </w:rPr>
        <w:t> </w:t>
      </w:r>
      <w:r>
        <w:rPr/>
        <w:t>yang terdiri atas unsur fisik bangunan, lingkungan, serta aktivitas manusia</w:t>
      </w:r>
      <w:r>
        <w:rPr>
          <w:spacing w:val="30"/>
        </w:rPr>
        <w:t>  </w:t>
      </w:r>
      <w:r>
        <w:rPr/>
        <w:t>yang</w:t>
      </w:r>
      <w:r>
        <w:rPr>
          <w:spacing w:val="29"/>
        </w:rPr>
        <w:t>  </w:t>
      </w:r>
      <w:r>
        <w:rPr/>
        <w:t>saling</w:t>
      </w:r>
      <w:r>
        <w:rPr>
          <w:spacing w:val="34"/>
        </w:rPr>
        <w:t>  </w:t>
      </w:r>
      <w:r>
        <w:rPr/>
        <w:t>berhubungan.</w:t>
      </w:r>
      <w:r>
        <w:rPr>
          <w:spacing w:val="34"/>
        </w:rPr>
        <w:t>  </w:t>
      </w:r>
      <w:r>
        <w:rPr/>
        <w:t>Kondisi</w:t>
      </w:r>
      <w:r>
        <w:rPr>
          <w:spacing w:val="31"/>
        </w:rPr>
        <w:t>  </w:t>
      </w:r>
      <w:r>
        <w:rPr>
          <w:spacing w:val="-2"/>
        </w:rPr>
        <w:t>suatu</w:t>
      </w:r>
    </w:p>
    <w:p>
      <w:pPr>
        <w:pStyle w:val="BodyText"/>
        <w:spacing w:before="81"/>
        <w:ind w:left="127" w:right="270"/>
      </w:pPr>
      <w:r>
        <w:rPr/>
        <w:br w:type="column"/>
      </w:r>
      <w:r>
        <w:rPr/>
        <w:t>permukiman sangat berkaitan erat dengan kehidupan manusia didalamnya dan saling mempengaruhi (Maryono et al., 2019). Perbandingan kedua wilayah menunjukkan bahwa masyarakat Kelurahan Tanah Kali Kedinding memberikan penilaian yang sedikit lebih tinggi pada seluruh indikator dibandingkan masyarakat Kelurahan Genteng. Perbedaan tersebut berkaitan dengan karakteristik wilayah dan kondisi lingkungan permukiman.</w:t>
      </w:r>
      <w:r>
        <w:rPr>
          <w:spacing w:val="-7"/>
        </w:rPr>
        <w:t> </w:t>
      </w:r>
      <w:r>
        <w:rPr/>
        <w:t>Kelurahan</w:t>
      </w:r>
      <w:r>
        <w:rPr>
          <w:spacing w:val="-13"/>
        </w:rPr>
        <w:t> </w:t>
      </w:r>
      <w:r>
        <w:rPr/>
        <w:t>Genteng</w:t>
      </w:r>
      <w:r>
        <w:rPr>
          <w:spacing w:val="-12"/>
        </w:rPr>
        <w:t> </w:t>
      </w:r>
      <w:r>
        <w:rPr/>
        <w:t>sebagai</w:t>
      </w:r>
      <w:r>
        <w:rPr>
          <w:spacing w:val="-10"/>
        </w:rPr>
        <w:t> </w:t>
      </w:r>
      <w:r>
        <w:rPr/>
        <w:t>kawasan</w:t>
      </w:r>
      <w:r>
        <w:rPr>
          <w:spacing w:val="-5"/>
        </w:rPr>
        <w:t> </w:t>
      </w:r>
      <w:r>
        <w:rPr/>
        <w:t>pusat kota didominasi permukiman padat dengan permasalahan utama berupa penurunan kualitas bangunan</w:t>
      </w:r>
      <w:r>
        <w:rPr>
          <w:spacing w:val="-1"/>
        </w:rPr>
        <w:t> </w:t>
      </w:r>
      <w:r>
        <w:rPr/>
        <w:t>akibat usia rumah,</w:t>
      </w:r>
      <w:r>
        <w:rPr>
          <w:spacing w:val="-1"/>
        </w:rPr>
        <w:t> </w:t>
      </w:r>
      <w:r>
        <w:rPr/>
        <w:t>sehingga manfaat program lebih banyak dirasakan pada peningkatan kualitas fisik bangunan.</w:t>
      </w:r>
      <w:r>
        <w:rPr>
          <w:spacing w:val="-12"/>
        </w:rPr>
        <w:t> </w:t>
      </w:r>
      <w:r>
        <w:rPr/>
        <w:t>Sebaliknya,</w:t>
      </w:r>
      <w:r>
        <w:rPr>
          <w:spacing w:val="-12"/>
        </w:rPr>
        <w:t> </w:t>
      </w:r>
      <w:r>
        <w:rPr/>
        <w:t>Kelurahan</w:t>
      </w:r>
      <w:r>
        <w:rPr>
          <w:spacing w:val="-12"/>
        </w:rPr>
        <w:t> </w:t>
      </w:r>
      <w:r>
        <w:rPr/>
        <w:t>Tanah</w:t>
      </w:r>
      <w:r>
        <w:rPr>
          <w:spacing w:val="-12"/>
        </w:rPr>
        <w:t> </w:t>
      </w:r>
      <w:r>
        <w:rPr/>
        <w:t>Kali</w:t>
      </w:r>
      <w:r>
        <w:rPr>
          <w:spacing w:val="-8"/>
        </w:rPr>
        <w:t> </w:t>
      </w:r>
      <w:r>
        <w:rPr/>
        <w:t>Kedinding merupakan kawasan pinggiran/pesisir yang memiliki kerentanan terhadap genangan dan banjir rob, sehingga perbaikan</w:t>
      </w:r>
      <w:r>
        <w:rPr>
          <w:spacing w:val="-13"/>
        </w:rPr>
        <w:t> </w:t>
      </w:r>
      <w:r>
        <w:rPr/>
        <w:t>rumah</w:t>
      </w:r>
      <w:r>
        <w:rPr>
          <w:spacing w:val="-12"/>
        </w:rPr>
        <w:t> </w:t>
      </w:r>
      <w:r>
        <w:rPr/>
        <w:t>tidak</w:t>
      </w:r>
      <w:r>
        <w:rPr>
          <w:spacing w:val="-13"/>
        </w:rPr>
        <w:t> </w:t>
      </w:r>
      <w:r>
        <w:rPr/>
        <w:t>hanya</w:t>
      </w:r>
      <w:r>
        <w:rPr>
          <w:spacing w:val="-11"/>
        </w:rPr>
        <w:t> </w:t>
      </w:r>
      <w:r>
        <w:rPr/>
        <w:t>meningkatkan</w:t>
      </w:r>
      <w:r>
        <w:rPr>
          <w:spacing w:val="-13"/>
        </w:rPr>
        <w:t> </w:t>
      </w:r>
      <w:r>
        <w:rPr/>
        <w:t>kondisi</w:t>
      </w:r>
      <w:r>
        <w:rPr>
          <w:spacing w:val="-8"/>
        </w:rPr>
        <w:t> </w:t>
      </w:r>
      <w:r>
        <w:rPr/>
        <w:t>fisik bangunan,</w:t>
      </w:r>
      <w:r>
        <w:rPr>
          <w:spacing w:val="-3"/>
        </w:rPr>
        <w:t> </w:t>
      </w:r>
      <w:r>
        <w:rPr/>
        <w:t>tetapi juga</w:t>
      </w:r>
      <w:r>
        <w:rPr>
          <w:spacing w:val="-2"/>
        </w:rPr>
        <w:t> </w:t>
      </w:r>
      <w:r>
        <w:rPr/>
        <w:t>meningkatkan</w:t>
      </w:r>
      <w:r>
        <w:rPr>
          <w:spacing w:val="-3"/>
        </w:rPr>
        <w:t> </w:t>
      </w:r>
      <w:r>
        <w:rPr/>
        <w:t>rasa</w:t>
      </w:r>
      <w:r>
        <w:rPr>
          <w:spacing w:val="-2"/>
        </w:rPr>
        <w:t> </w:t>
      </w:r>
      <w:r>
        <w:rPr/>
        <w:t>aman</w:t>
      </w:r>
      <w:r>
        <w:rPr>
          <w:spacing w:val="-3"/>
        </w:rPr>
        <w:t> </w:t>
      </w:r>
      <w:r>
        <w:rPr/>
        <w:t>terhadap risiko lingkungan. Selain itu, kondisi sosial ekonomi penerima manfaat di kedua wilayah yang didominasi masyarakat berpenghasilan menengah ke bawah menyebabkan program dipersepsikan mampu mengurangi beban biaya renovasi rumah yang sebelumnya sulit dipenuhi secara mandiri. Dampak positif ini ditunjukkan pada ranah social meningkatkan hubungan kerjasama maupun interaksi positif antar masyarakat serta</w:t>
      </w:r>
      <w:r>
        <w:rPr>
          <w:spacing w:val="-2"/>
        </w:rPr>
        <w:t> </w:t>
      </w:r>
      <w:r>
        <w:rPr/>
        <w:t>memiliki dampak</w:t>
      </w:r>
      <w:r>
        <w:rPr>
          <w:spacing w:val="-4"/>
        </w:rPr>
        <w:t> </w:t>
      </w:r>
      <w:r>
        <w:rPr/>
        <w:t>terhadap</w:t>
      </w:r>
      <w:r>
        <w:rPr>
          <w:spacing w:val="-3"/>
        </w:rPr>
        <w:t> </w:t>
      </w:r>
      <w:r>
        <w:rPr/>
        <w:t>lingkungan mereka yang menjadi semakin bersih, sehat serta nyaman sehingga terwujud kehidupan yang semakin sejahtera. (Fadhilah et al., 2024).</w:t>
      </w:r>
    </w:p>
    <w:p>
      <w:pPr>
        <w:pStyle w:val="BodyText"/>
        <w:spacing w:before="5"/>
        <w:ind w:left="127" w:right="271" w:firstLine="590"/>
      </w:pPr>
      <w:r>
        <w:rPr/>
        <w:t>Meskipun secara deskriptif terdapat kecenderungan nilai persepsi yang lebih tinggi di Kelurahan Tanah Kali Kedinding, hasil uji </w:t>
      </w:r>
      <w:r>
        <w:rPr>
          <w:i/>
        </w:rPr>
        <w:t>Independent Sample t-Test </w:t>
      </w:r>
      <w:r>
        <w:rPr/>
        <w:t>menunjukkan bahwa perbedaan tersebut tidak</w:t>
      </w:r>
      <w:r>
        <w:rPr>
          <w:spacing w:val="-13"/>
        </w:rPr>
        <w:t> </w:t>
      </w:r>
      <w:r>
        <w:rPr/>
        <w:t>signifikan</w:t>
      </w:r>
      <w:r>
        <w:rPr>
          <w:spacing w:val="-3"/>
        </w:rPr>
        <w:t> </w:t>
      </w:r>
      <w:r>
        <w:rPr/>
        <w:t>secara</w:t>
      </w:r>
      <w:r>
        <w:rPr>
          <w:spacing w:val="-12"/>
        </w:rPr>
        <w:t> </w:t>
      </w:r>
      <w:r>
        <w:rPr/>
        <w:t>statistik.</w:t>
      </w:r>
      <w:r>
        <w:rPr>
          <w:spacing w:val="-8"/>
        </w:rPr>
        <w:t> </w:t>
      </w:r>
      <w:r>
        <w:rPr/>
        <w:t>Hal</w:t>
      </w:r>
      <w:r>
        <w:rPr>
          <w:spacing w:val="-9"/>
        </w:rPr>
        <w:t> </w:t>
      </w:r>
      <w:r>
        <w:rPr/>
        <w:t>ini</w:t>
      </w:r>
      <w:r>
        <w:rPr>
          <w:spacing w:val="-9"/>
        </w:rPr>
        <w:t> </w:t>
      </w:r>
      <w:r>
        <w:rPr/>
        <w:t>mengindikasikan bahwa karakteristik wilayah memengaruhi cara masyarakat memaknai manfaat program, tetapi belum menghasilkan perbedaan persepsi yang bermakna. Kesamaan mekanisme pelaksanaan, kriteria penerima manfaat, serta standar perbaikan yang diterapkan pada kedua kelurahan</w:t>
      </w:r>
      <w:r>
        <w:rPr>
          <w:spacing w:val="-4"/>
        </w:rPr>
        <w:t> </w:t>
      </w:r>
      <w:r>
        <w:rPr/>
        <w:t>menyebabkan</w:t>
      </w:r>
      <w:r>
        <w:rPr>
          <w:spacing w:val="-5"/>
        </w:rPr>
        <w:t> </w:t>
      </w:r>
      <w:r>
        <w:rPr/>
        <w:t>masyarakat memberikan penilaian positif yang relatif serupa terhadap Program Perbaikan Rumah. Dengan demikian, program tidak hanya berperan sebagai intervensi untuk meningkatkan kualitas fisik rumah, tetapi juga sebagai upaya peningkatan kualitas permukiman yang mampu menjawab kebutuhan masyarakat pada karakteristik wilayah yang berbeda.</w:t>
      </w:r>
    </w:p>
    <w:p>
      <w:pPr>
        <w:pStyle w:val="BodyText"/>
        <w:spacing w:before="2"/>
        <w:jc w:val="left"/>
      </w:pPr>
    </w:p>
    <w:p>
      <w:pPr>
        <w:pStyle w:val="Heading1"/>
        <w:spacing w:before="1"/>
      </w:pPr>
      <w:r>
        <w:rPr>
          <w:spacing w:val="-2"/>
        </w:rPr>
        <w:t>PENUTUP</w:t>
      </w:r>
    </w:p>
    <w:p>
      <w:pPr>
        <w:pStyle w:val="Heading2"/>
        <w:ind w:left="127"/>
      </w:pPr>
      <w:r>
        <w:rPr>
          <w:spacing w:val="-2"/>
        </w:rPr>
        <w:t>Kesimpulan</w:t>
      </w:r>
    </w:p>
    <w:p>
      <w:pPr>
        <w:pStyle w:val="ListParagraph"/>
        <w:numPr>
          <w:ilvl w:val="0"/>
          <w:numId w:val="2"/>
        </w:numPr>
        <w:tabs>
          <w:tab w:pos="488" w:val="left" w:leader="none"/>
        </w:tabs>
        <w:spacing w:line="240" w:lineRule="auto" w:before="0" w:after="0"/>
        <w:ind w:left="488" w:right="276" w:hanging="361"/>
        <w:jc w:val="both"/>
        <w:rPr>
          <w:sz w:val="20"/>
        </w:rPr>
      </w:pPr>
      <w:r>
        <w:rPr>
          <w:sz w:val="20"/>
        </w:rPr>
        <w:t>Persepsi masyarakat penerima manfaat terhadap Program Perbaikan Rumah di Kelurahan Genteng dan Kelurahan</w:t>
      </w:r>
      <w:r>
        <w:rPr>
          <w:spacing w:val="-9"/>
          <w:sz w:val="20"/>
        </w:rPr>
        <w:t> </w:t>
      </w:r>
      <w:r>
        <w:rPr>
          <w:sz w:val="20"/>
        </w:rPr>
        <w:t>Tanah Kali Kedinding secara umum berada pada kategori baik. Program juga dinilai berhasil meningkatkan kualitas</w:t>
      </w:r>
      <w:r>
        <w:rPr>
          <w:spacing w:val="-3"/>
          <w:sz w:val="20"/>
        </w:rPr>
        <w:t> </w:t>
      </w:r>
      <w:r>
        <w:rPr>
          <w:sz w:val="20"/>
        </w:rPr>
        <w:t>fisik rumah</w:t>
      </w:r>
      <w:r>
        <w:rPr>
          <w:spacing w:val="-4"/>
          <w:sz w:val="20"/>
        </w:rPr>
        <w:t> </w:t>
      </w:r>
      <w:r>
        <w:rPr>
          <w:sz w:val="20"/>
        </w:rPr>
        <w:t>melalui perbaikan</w:t>
      </w:r>
      <w:r>
        <w:rPr>
          <w:spacing w:val="-2"/>
          <w:sz w:val="20"/>
        </w:rPr>
        <w:t> </w:t>
      </w:r>
      <w:r>
        <w:rPr>
          <w:sz w:val="20"/>
        </w:rPr>
        <w:t>atap,</w:t>
      </w:r>
      <w:r>
        <w:rPr>
          <w:spacing w:val="-2"/>
          <w:sz w:val="20"/>
        </w:rPr>
        <w:t> </w:t>
      </w:r>
      <w:r>
        <w:rPr>
          <w:sz w:val="20"/>
        </w:rPr>
        <w:t>dinding,</w:t>
      </w:r>
      <w:r>
        <w:rPr>
          <w:spacing w:val="-12"/>
          <w:sz w:val="20"/>
        </w:rPr>
        <w:t> </w:t>
      </w:r>
      <w:r>
        <w:rPr>
          <w:sz w:val="20"/>
        </w:rPr>
        <w:t>lantai,</w:t>
      </w:r>
      <w:r>
        <w:rPr>
          <w:spacing w:val="-2"/>
          <w:sz w:val="20"/>
        </w:rPr>
        <w:t> </w:t>
      </w:r>
      <w:r>
        <w:rPr>
          <w:sz w:val="20"/>
        </w:rPr>
        <w:t>dan</w:t>
      </w:r>
      <w:r>
        <w:rPr>
          <w:spacing w:val="-2"/>
          <w:sz w:val="20"/>
        </w:rPr>
        <w:t> </w:t>
      </w:r>
      <w:r>
        <w:rPr>
          <w:sz w:val="20"/>
        </w:rPr>
        <w:t>fasilitas</w:t>
      </w:r>
      <w:r>
        <w:rPr>
          <w:spacing w:val="-1"/>
          <w:sz w:val="20"/>
        </w:rPr>
        <w:t> </w:t>
      </w:r>
      <w:r>
        <w:rPr>
          <w:sz w:val="20"/>
        </w:rPr>
        <w:t>sanitasi sehingga menciptakan hunian yang lebih layak, aman,</w:t>
      </w:r>
      <w:r>
        <w:rPr>
          <w:spacing w:val="-13"/>
          <w:sz w:val="20"/>
        </w:rPr>
        <w:t> </w:t>
      </w:r>
      <w:r>
        <w:rPr>
          <w:sz w:val="20"/>
        </w:rPr>
        <w:t>dan</w:t>
      </w:r>
      <w:r>
        <w:rPr>
          <w:spacing w:val="-12"/>
          <w:sz w:val="20"/>
        </w:rPr>
        <w:t> </w:t>
      </w:r>
      <w:r>
        <w:rPr>
          <w:sz w:val="20"/>
        </w:rPr>
        <w:t>nyaman.</w:t>
      </w:r>
      <w:r>
        <w:rPr>
          <w:spacing w:val="-13"/>
          <w:sz w:val="20"/>
        </w:rPr>
        <w:t> </w:t>
      </w:r>
      <w:r>
        <w:rPr>
          <w:sz w:val="20"/>
        </w:rPr>
        <w:t>Selain</w:t>
      </w:r>
      <w:r>
        <w:rPr>
          <w:spacing w:val="-12"/>
          <w:sz w:val="20"/>
        </w:rPr>
        <w:t> </w:t>
      </w:r>
      <w:r>
        <w:rPr>
          <w:sz w:val="20"/>
        </w:rPr>
        <w:t>itu,</w:t>
      </w:r>
      <w:r>
        <w:rPr>
          <w:spacing w:val="-12"/>
          <w:sz w:val="20"/>
        </w:rPr>
        <w:t> </w:t>
      </w:r>
      <w:r>
        <w:rPr>
          <w:sz w:val="20"/>
        </w:rPr>
        <w:t>program</w:t>
      </w:r>
      <w:r>
        <w:rPr>
          <w:spacing w:val="-13"/>
          <w:sz w:val="20"/>
        </w:rPr>
        <w:t> </w:t>
      </w:r>
      <w:r>
        <w:rPr>
          <w:sz w:val="20"/>
        </w:rPr>
        <w:t>memberikan manfaat</w:t>
      </w:r>
      <w:r>
        <w:rPr>
          <w:spacing w:val="-5"/>
          <w:sz w:val="20"/>
        </w:rPr>
        <w:t> </w:t>
      </w:r>
      <w:r>
        <w:rPr>
          <w:sz w:val="20"/>
        </w:rPr>
        <w:t>ekonomi</w:t>
      </w:r>
      <w:r>
        <w:rPr>
          <w:spacing w:val="-5"/>
          <w:sz w:val="20"/>
        </w:rPr>
        <w:t> </w:t>
      </w:r>
      <w:r>
        <w:rPr>
          <w:sz w:val="20"/>
        </w:rPr>
        <w:t>berupa</w:t>
      </w:r>
      <w:r>
        <w:rPr>
          <w:spacing w:val="-7"/>
          <w:sz w:val="20"/>
        </w:rPr>
        <w:t> </w:t>
      </w:r>
      <w:r>
        <w:rPr>
          <w:sz w:val="20"/>
        </w:rPr>
        <w:t>berkurangnya</w:t>
      </w:r>
      <w:r>
        <w:rPr>
          <w:spacing w:val="-7"/>
          <w:sz w:val="20"/>
        </w:rPr>
        <w:t> </w:t>
      </w:r>
      <w:r>
        <w:rPr>
          <w:sz w:val="20"/>
        </w:rPr>
        <w:t>beban</w:t>
      </w:r>
      <w:r>
        <w:rPr>
          <w:spacing w:val="-8"/>
          <w:sz w:val="20"/>
        </w:rPr>
        <w:t> </w:t>
      </w:r>
      <w:r>
        <w:rPr>
          <w:sz w:val="20"/>
        </w:rPr>
        <w:t>biaya renovasi serta</w:t>
      </w:r>
      <w:r>
        <w:rPr>
          <w:spacing w:val="-9"/>
          <w:sz w:val="20"/>
        </w:rPr>
        <w:t> </w:t>
      </w:r>
      <w:r>
        <w:rPr>
          <w:sz w:val="20"/>
        </w:rPr>
        <w:t>manfaat</w:t>
      </w:r>
      <w:r>
        <w:rPr>
          <w:spacing w:val="3"/>
          <w:sz w:val="20"/>
        </w:rPr>
        <w:t> </w:t>
      </w:r>
      <w:r>
        <w:rPr>
          <w:sz w:val="20"/>
        </w:rPr>
        <w:t>sosial</w:t>
      </w:r>
      <w:r>
        <w:rPr>
          <w:spacing w:val="3"/>
          <w:sz w:val="20"/>
        </w:rPr>
        <w:t> </w:t>
      </w:r>
      <w:r>
        <w:rPr>
          <w:sz w:val="20"/>
        </w:rPr>
        <w:t>melalui</w:t>
      </w:r>
      <w:r>
        <w:rPr>
          <w:spacing w:val="3"/>
          <w:sz w:val="20"/>
        </w:rPr>
        <w:t> </w:t>
      </w:r>
      <w:r>
        <w:rPr>
          <w:spacing w:val="-2"/>
          <w:sz w:val="20"/>
        </w:rPr>
        <w:t>meningkatnya</w:t>
      </w:r>
    </w:p>
    <w:p>
      <w:pPr>
        <w:pStyle w:val="ListParagraph"/>
        <w:spacing w:after="0" w:line="240" w:lineRule="auto"/>
        <w:jc w:val="both"/>
        <w:rPr>
          <w:sz w:val="20"/>
        </w:rPr>
        <w:sectPr>
          <w:pgSz w:w="11910" w:h="16830"/>
          <w:pgMar w:header="442" w:footer="729" w:top="1300" w:bottom="920" w:left="1133" w:right="850"/>
          <w:cols w:num="2" w:equalWidth="0">
            <w:col w:w="4691" w:space="313"/>
            <w:col w:w="4923"/>
          </w:cols>
        </w:sectPr>
      </w:pPr>
    </w:p>
    <w:p>
      <w:pPr>
        <w:pStyle w:val="BodyText"/>
        <w:spacing w:before="81"/>
        <w:ind w:left="488" w:right="45"/>
      </w:pPr>
      <w:r>
        <w:rPr/>
        <w:t>kenyamanan dan kualitas hidup </w:t>
      </w:r>
      <w:r>
        <w:rPr/>
        <w:t>masyarakat. Meskipun demikian, masih ditemukan beberapa kekurangan, seperti hasil renovasi yang belum sepenuhnya</w:t>
      </w:r>
      <w:r>
        <w:rPr>
          <w:spacing w:val="-4"/>
        </w:rPr>
        <w:t> </w:t>
      </w:r>
      <w:r>
        <w:rPr/>
        <w:t>optimal</w:t>
      </w:r>
      <w:r>
        <w:rPr>
          <w:spacing w:val="-2"/>
        </w:rPr>
        <w:t> </w:t>
      </w:r>
      <w:r>
        <w:rPr/>
        <w:t>pada</w:t>
      </w:r>
      <w:r>
        <w:rPr>
          <w:spacing w:val="-4"/>
        </w:rPr>
        <w:t> </w:t>
      </w:r>
      <w:r>
        <w:rPr/>
        <w:t>sebagian</w:t>
      </w:r>
      <w:r>
        <w:rPr>
          <w:spacing w:val="-5"/>
        </w:rPr>
        <w:t> </w:t>
      </w:r>
      <w:r>
        <w:rPr/>
        <w:t>rumah</w:t>
      </w:r>
      <w:r>
        <w:rPr>
          <w:spacing w:val="-5"/>
        </w:rPr>
        <w:t> </w:t>
      </w:r>
      <w:r>
        <w:rPr/>
        <w:t>penerima </w:t>
      </w:r>
      <w:r>
        <w:rPr>
          <w:spacing w:val="-2"/>
        </w:rPr>
        <w:t>manfaat.</w:t>
      </w:r>
    </w:p>
    <w:p>
      <w:pPr>
        <w:pStyle w:val="ListParagraph"/>
        <w:numPr>
          <w:ilvl w:val="0"/>
          <w:numId w:val="2"/>
        </w:numPr>
        <w:tabs>
          <w:tab w:pos="488" w:val="left" w:leader="none"/>
        </w:tabs>
        <w:spacing w:line="240" w:lineRule="auto" w:before="1" w:after="0"/>
        <w:ind w:left="488" w:right="38" w:hanging="361"/>
        <w:jc w:val="both"/>
        <w:rPr>
          <w:sz w:val="20"/>
        </w:rPr>
      </w:pPr>
      <w:r>
        <w:rPr>
          <w:sz w:val="20"/>
        </w:rPr>
        <w:drawing>
          <wp:anchor distT="0" distB="0" distL="0" distR="0" allowOverlap="1" layoutInCell="1" locked="0" behindDoc="1" simplePos="0" relativeHeight="487188992">
            <wp:simplePos x="0" y="0"/>
            <wp:positionH relativeFrom="page">
              <wp:posOffset>1860189</wp:posOffset>
            </wp:positionH>
            <wp:positionV relativeFrom="paragraph">
              <wp:posOffset>1394921</wp:posOffset>
            </wp:positionV>
            <wp:extent cx="3841835" cy="4687953"/>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9" cstate="print"/>
                    <a:stretch>
                      <a:fillRect/>
                    </a:stretch>
                  </pic:blipFill>
                  <pic:spPr>
                    <a:xfrm>
                      <a:off x="0" y="0"/>
                      <a:ext cx="3841835" cy="4687953"/>
                    </a:xfrm>
                    <a:prstGeom prst="rect">
                      <a:avLst/>
                    </a:prstGeom>
                  </pic:spPr>
                </pic:pic>
              </a:graphicData>
            </a:graphic>
          </wp:anchor>
        </w:drawing>
      </w:r>
      <w:r>
        <w:rPr>
          <w:sz w:val="20"/>
        </w:rPr>
        <w:t>Tidak terdapat perbedaan persepsi masyarakat penerima</w:t>
      </w:r>
      <w:r>
        <w:rPr>
          <w:spacing w:val="-4"/>
          <w:sz w:val="20"/>
        </w:rPr>
        <w:t> </w:t>
      </w:r>
      <w:r>
        <w:rPr>
          <w:sz w:val="20"/>
        </w:rPr>
        <w:t>manfaat</w:t>
      </w:r>
      <w:r>
        <w:rPr>
          <w:spacing w:val="-1"/>
          <w:sz w:val="20"/>
        </w:rPr>
        <w:t> </w:t>
      </w:r>
      <w:r>
        <w:rPr>
          <w:sz w:val="20"/>
        </w:rPr>
        <w:t>yang</w:t>
      </w:r>
      <w:r>
        <w:rPr>
          <w:spacing w:val="-13"/>
          <w:sz w:val="20"/>
        </w:rPr>
        <w:t> </w:t>
      </w:r>
      <w:r>
        <w:rPr>
          <w:sz w:val="20"/>
        </w:rPr>
        <w:t>signifikan</w:t>
      </w:r>
      <w:r>
        <w:rPr>
          <w:spacing w:val="-4"/>
          <w:sz w:val="20"/>
        </w:rPr>
        <w:t> </w:t>
      </w:r>
      <w:r>
        <w:rPr>
          <w:sz w:val="20"/>
        </w:rPr>
        <w:t>antara</w:t>
      </w:r>
      <w:r>
        <w:rPr>
          <w:spacing w:val="-3"/>
          <w:sz w:val="20"/>
        </w:rPr>
        <w:t> </w:t>
      </w:r>
      <w:r>
        <w:rPr>
          <w:sz w:val="20"/>
        </w:rPr>
        <w:t>Kelurahan Genteng dan Kelurahan Tanah Kali Kedinding berdasarkan</w:t>
      </w:r>
      <w:r>
        <w:rPr>
          <w:spacing w:val="-13"/>
          <w:sz w:val="20"/>
        </w:rPr>
        <w:t> </w:t>
      </w:r>
      <w:r>
        <w:rPr>
          <w:sz w:val="20"/>
        </w:rPr>
        <w:t>hasil</w:t>
      </w:r>
      <w:r>
        <w:rPr>
          <w:spacing w:val="-12"/>
          <w:sz w:val="20"/>
        </w:rPr>
        <w:t> </w:t>
      </w:r>
      <w:r>
        <w:rPr>
          <w:sz w:val="20"/>
        </w:rPr>
        <w:t>uji</w:t>
      </w:r>
      <w:r>
        <w:rPr>
          <w:spacing w:val="-13"/>
          <w:sz w:val="20"/>
        </w:rPr>
        <w:t> </w:t>
      </w:r>
      <w:r>
        <w:rPr>
          <w:i/>
          <w:sz w:val="20"/>
        </w:rPr>
        <w:t>Independent</w:t>
      </w:r>
      <w:r>
        <w:rPr>
          <w:i/>
          <w:spacing w:val="-12"/>
          <w:sz w:val="20"/>
        </w:rPr>
        <w:t> </w:t>
      </w:r>
      <w:r>
        <w:rPr>
          <w:i/>
          <w:sz w:val="20"/>
        </w:rPr>
        <w:t>Sample</w:t>
      </w:r>
      <w:r>
        <w:rPr>
          <w:i/>
          <w:spacing w:val="-13"/>
          <w:sz w:val="20"/>
        </w:rPr>
        <w:t> </w:t>
      </w:r>
      <w:r>
        <w:rPr>
          <w:i/>
          <w:sz w:val="20"/>
        </w:rPr>
        <w:t>t-test</w:t>
      </w:r>
      <w:r>
        <w:rPr>
          <w:i/>
          <w:spacing w:val="-12"/>
          <w:sz w:val="20"/>
        </w:rPr>
        <w:t> </w:t>
      </w:r>
      <w:r>
        <w:rPr>
          <w:sz w:val="20"/>
        </w:rPr>
        <w:t>(Sig. 0,240</w:t>
      </w:r>
      <w:r>
        <w:rPr>
          <w:spacing w:val="-2"/>
          <w:sz w:val="20"/>
        </w:rPr>
        <w:t> </w:t>
      </w:r>
      <w:r>
        <w:rPr>
          <w:sz w:val="20"/>
        </w:rPr>
        <w:t>&gt;</w:t>
      </w:r>
      <w:r>
        <w:rPr>
          <w:spacing w:val="-5"/>
          <w:sz w:val="20"/>
        </w:rPr>
        <w:t> </w:t>
      </w:r>
      <w:r>
        <w:rPr>
          <w:sz w:val="20"/>
        </w:rPr>
        <w:t>0,05).</w:t>
      </w:r>
      <w:r>
        <w:rPr>
          <w:spacing w:val="-2"/>
          <w:sz w:val="20"/>
        </w:rPr>
        <w:t> </w:t>
      </w:r>
      <w:r>
        <w:rPr>
          <w:sz w:val="20"/>
        </w:rPr>
        <w:t>Namun,</w:t>
      </w:r>
      <w:r>
        <w:rPr>
          <w:spacing w:val="-2"/>
          <w:sz w:val="20"/>
        </w:rPr>
        <w:t> </w:t>
      </w:r>
      <w:r>
        <w:rPr>
          <w:sz w:val="20"/>
        </w:rPr>
        <w:t>secara</w:t>
      </w:r>
      <w:r>
        <w:rPr>
          <w:spacing w:val="-1"/>
          <w:sz w:val="20"/>
        </w:rPr>
        <w:t> </w:t>
      </w:r>
      <w:r>
        <w:rPr>
          <w:sz w:val="20"/>
        </w:rPr>
        <w:t>deskriptif</w:t>
      </w:r>
      <w:r>
        <w:rPr>
          <w:spacing w:val="-9"/>
          <w:sz w:val="20"/>
        </w:rPr>
        <w:t> </w:t>
      </w:r>
      <w:r>
        <w:rPr>
          <w:sz w:val="20"/>
        </w:rPr>
        <w:t>masyarakat di Kelurahan Tanah Kali Kedinding memberikan penilaian</w:t>
      </w:r>
      <w:r>
        <w:rPr>
          <w:spacing w:val="-5"/>
          <w:sz w:val="20"/>
        </w:rPr>
        <w:t> </w:t>
      </w:r>
      <w:r>
        <w:rPr>
          <w:sz w:val="20"/>
        </w:rPr>
        <w:t>yang</w:t>
      </w:r>
      <w:r>
        <w:rPr>
          <w:spacing w:val="-5"/>
          <w:sz w:val="20"/>
        </w:rPr>
        <w:t> </w:t>
      </w:r>
      <w:r>
        <w:rPr>
          <w:sz w:val="20"/>
        </w:rPr>
        <w:t>lebih</w:t>
      </w:r>
      <w:r>
        <w:rPr>
          <w:spacing w:val="-5"/>
          <w:sz w:val="20"/>
        </w:rPr>
        <w:t> </w:t>
      </w:r>
      <w:r>
        <w:rPr>
          <w:sz w:val="20"/>
        </w:rPr>
        <w:t>tinggi</w:t>
      </w:r>
      <w:r>
        <w:rPr>
          <w:spacing w:val="-1"/>
          <w:sz w:val="20"/>
        </w:rPr>
        <w:t> </w:t>
      </w:r>
      <w:r>
        <w:rPr>
          <w:sz w:val="20"/>
        </w:rPr>
        <w:t>karena</w:t>
      </w:r>
      <w:r>
        <w:rPr>
          <w:spacing w:val="-4"/>
          <w:sz w:val="20"/>
        </w:rPr>
        <w:t> </w:t>
      </w:r>
      <w:r>
        <w:rPr>
          <w:sz w:val="20"/>
        </w:rPr>
        <w:t>manfaat</w:t>
      </w:r>
      <w:r>
        <w:rPr>
          <w:spacing w:val="-1"/>
          <w:sz w:val="20"/>
        </w:rPr>
        <w:t> </w:t>
      </w:r>
      <w:r>
        <w:rPr>
          <w:sz w:val="20"/>
        </w:rPr>
        <w:t>program dirasakan lebih besar sesuai dengan karakteristik wilayahnya</w:t>
      </w:r>
      <w:r>
        <w:rPr>
          <w:spacing w:val="-10"/>
          <w:sz w:val="20"/>
        </w:rPr>
        <w:t> </w:t>
      </w:r>
      <w:r>
        <w:rPr>
          <w:sz w:val="20"/>
        </w:rPr>
        <w:t>yang</w:t>
      </w:r>
      <w:r>
        <w:rPr>
          <w:spacing w:val="-13"/>
          <w:sz w:val="20"/>
        </w:rPr>
        <w:t> </w:t>
      </w:r>
      <w:r>
        <w:rPr>
          <w:sz w:val="20"/>
        </w:rPr>
        <w:t>memiliki</w:t>
      </w:r>
      <w:r>
        <w:rPr>
          <w:spacing w:val="-4"/>
          <w:sz w:val="20"/>
        </w:rPr>
        <w:t> </w:t>
      </w:r>
      <w:r>
        <w:rPr>
          <w:sz w:val="20"/>
        </w:rPr>
        <w:t>kondisi</w:t>
      </w:r>
      <w:r>
        <w:rPr>
          <w:spacing w:val="-13"/>
          <w:sz w:val="20"/>
        </w:rPr>
        <w:t> </w:t>
      </w:r>
      <w:r>
        <w:rPr>
          <w:sz w:val="20"/>
        </w:rPr>
        <w:t>permukiman</w:t>
      </w:r>
      <w:r>
        <w:rPr>
          <w:spacing w:val="-7"/>
          <w:sz w:val="20"/>
        </w:rPr>
        <w:t> </w:t>
      </w:r>
      <w:r>
        <w:rPr>
          <w:sz w:val="20"/>
        </w:rPr>
        <w:t>dan tantangan lingkungan lebih kompleks.</w:t>
      </w:r>
    </w:p>
    <w:p>
      <w:pPr>
        <w:pStyle w:val="ListParagraph"/>
        <w:numPr>
          <w:ilvl w:val="0"/>
          <w:numId w:val="2"/>
        </w:numPr>
        <w:tabs>
          <w:tab w:pos="488" w:val="left" w:leader="none"/>
        </w:tabs>
        <w:spacing w:line="240" w:lineRule="auto" w:before="1" w:after="0"/>
        <w:ind w:left="488" w:right="43" w:hanging="361"/>
        <w:jc w:val="both"/>
        <w:rPr>
          <w:sz w:val="20"/>
        </w:rPr>
      </w:pPr>
      <w:r>
        <w:rPr>
          <w:sz w:val="20"/>
        </w:rPr>
        <w:t>Persepsi masyarakat penerima manfaat terhadap Program Perbaikan Rumah dipengaruhi oleh tiga faktor utama, yaitu karakteristik wilayah, kondisi sosial ekonomi</w:t>
      </w:r>
      <w:r>
        <w:rPr>
          <w:spacing w:val="-9"/>
          <w:sz w:val="20"/>
        </w:rPr>
        <w:t> </w:t>
      </w:r>
      <w:r>
        <w:rPr>
          <w:sz w:val="20"/>
        </w:rPr>
        <w:t>masyarakat,</w:t>
      </w:r>
      <w:r>
        <w:rPr>
          <w:spacing w:val="-4"/>
          <w:sz w:val="20"/>
        </w:rPr>
        <w:t> </w:t>
      </w:r>
      <w:r>
        <w:rPr>
          <w:sz w:val="20"/>
        </w:rPr>
        <w:t>dan</w:t>
      </w:r>
      <w:r>
        <w:rPr>
          <w:spacing w:val="-4"/>
          <w:sz w:val="20"/>
        </w:rPr>
        <w:t> </w:t>
      </w:r>
      <w:r>
        <w:rPr>
          <w:sz w:val="20"/>
        </w:rPr>
        <w:t>kondisi</w:t>
      </w:r>
      <w:r>
        <w:rPr>
          <w:spacing w:val="-9"/>
          <w:sz w:val="20"/>
        </w:rPr>
        <w:t> </w:t>
      </w:r>
      <w:r>
        <w:rPr>
          <w:sz w:val="20"/>
        </w:rPr>
        <w:t>lingkungan permukiman. Perbedaan karakteristik wilayah memengaruhi cara masyarakat memaknai manfaat program,</w:t>
      </w:r>
      <w:r>
        <w:rPr>
          <w:spacing w:val="-13"/>
          <w:sz w:val="20"/>
        </w:rPr>
        <w:t> </w:t>
      </w:r>
      <w:r>
        <w:rPr>
          <w:sz w:val="20"/>
        </w:rPr>
        <w:t>kondisi</w:t>
      </w:r>
      <w:r>
        <w:rPr>
          <w:spacing w:val="-9"/>
          <w:sz w:val="20"/>
        </w:rPr>
        <w:t> </w:t>
      </w:r>
      <w:r>
        <w:rPr>
          <w:sz w:val="20"/>
        </w:rPr>
        <w:t>sosial</w:t>
      </w:r>
      <w:r>
        <w:rPr>
          <w:spacing w:val="-9"/>
          <w:sz w:val="20"/>
        </w:rPr>
        <w:t> </w:t>
      </w:r>
      <w:r>
        <w:rPr>
          <w:sz w:val="20"/>
        </w:rPr>
        <w:t>ekonomi</w:t>
      </w:r>
      <w:r>
        <w:rPr>
          <w:spacing w:val="-9"/>
          <w:sz w:val="20"/>
        </w:rPr>
        <w:t> </w:t>
      </w:r>
      <w:r>
        <w:rPr>
          <w:sz w:val="20"/>
        </w:rPr>
        <w:t>yang</w:t>
      </w:r>
      <w:r>
        <w:rPr>
          <w:spacing w:val="-13"/>
          <w:sz w:val="20"/>
        </w:rPr>
        <w:t> </w:t>
      </w:r>
      <w:r>
        <w:rPr>
          <w:sz w:val="20"/>
        </w:rPr>
        <w:t>relatif</w:t>
      </w:r>
      <w:r>
        <w:rPr>
          <w:spacing w:val="-10"/>
          <w:sz w:val="20"/>
        </w:rPr>
        <w:t> </w:t>
      </w:r>
      <w:r>
        <w:rPr>
          <w:sz w:val="20"/>
        </w:rPr>
        <w:t>rendah meningkatkan persepsi masyarakat terhadap bantuan perbaikan rumah, sedangkan kondisi lingkungan permukiman menentukan besarnya manfaat yang dirasakan setelah rumah diperbaiki, terutama terkait peningkatan </w:t>
      </w:r>
      <w:r>
        <w:rPr>
          <w:sz w:val="20"/>
        </w:rPr>
        <w:t>kenyamanan, keamanan, dan kualitas hunian.</w:t>
      </w:r>
    </w:p>
    <w:p>
      <w:pPr>
        <w:pStyle w:val="BodyText"/>
        <w:spacing w:before="3"/>
        <w:jc w:val="left"/>
      </w:pPr>
    </w:p>
    <w:p>
      <w:pPr>
        <w:pStyle w:val="Heading2"/>
        <w:ind w:left="127"/>
      </w:pPr>
      <w:r>
        <w:rPr>
          <w:spacing w:val="-2"/>
        </w:rPr>
        <w:t>Saran</w:t>
      </w:r>
    </w:p>
    <w:p>
      <w:pPr>
        <w:pStyle w:val="ListParagraph"/>
        <w:numPr>
          <w:ilvl w:val="0"/>
          <w:numId w:val="3"/>
        </w:numPr>
        <w:tabs>
          <w:tab w:pos="488" w:val="left" w:leader="none"/>
        </w:tabs>
        <w:spacing w:line="240" w:lineRule="auto" w:before="0" w:after="0"/>
        <w:ind w:left="488" w:right="38" w:hanging="361"/>
        <w:jc w:val="both"/>
        <w:rPr>
          <w:sz w:val="20"/>
        </w:rPr>
      </w:pPr>
      <w:r>
        <w:rPr>
          <w:sz w:val="20"/>
        </w:rPr>
        <w:t>Pemerintah Kota Surabaya melalui DPRKPP diharapkan dapat terus mempertahankan pelaksanaan Program Perbaikan Rumah sebagai salah satu upaya meningkatkan kualitas hunian masyarakat.</w:t>
      </w:r>
      <w:r>
        <w:rPr>
          <w:spacing w:val="-4"/>
          <w:sz w:val="20"/>
        </w:rPr>
        <w:t> </w:t>
      </w:r>
      <w:r>
        <w:rPr>
          <w:sz w:val="20"/>
        </w:rPr>
        <w:t>Selain</w:t>
      </w:r>
      <w:r>
        <w:rPr>
          <w:spacing w:val="-5"/>
          <w:sz w:val="20"/>
        </w:rPr>
        <w:t> </w:t>
      </w:r>
      <w:r>
        <w:rPr>
          <w:sz w:val="20"/>
        </w:rPr>
        <w:t>itu,</w:t>
      </w:r>
      <w:r>
        <w:rPr>
          <w:spacing w:val="-5"/>
          <w:sz w:val="20"/>
        </w:rPr>
        <w:t> </w:t>
      </w:r>
      <w:r>
        <w:rPr>
          <w:sz w:val="20"/>
        </w:rPr>
        <w:t>perlu</w:t>
      </w:r>
      <w:r>
        <w:rPr>
          <w:spacing w:val="-5"/>
          <w:sz w:val="20"/>
        </w:rPr>
        <w:t> </w:t>
      </w:r>
      <w:r>
        <w:rPr>
          <w:sz w:val="20"/>
        </w:rPr>
        <w:t>dilakukan</w:t>
      </w:r>
      <w:r>
        <w:rPr>
          <w:spacing w:val="-5"/>
          <w:sz w:val="20"/>
        </w:rPr>
        <w:t> </w:t>
      </w:r>
      <w:r>
        <w:rPr>
          <w:sz w:val="20"/>
        </w:rPr>
        <w:t>peningkatan pengawasan terhadap proses pelaksanaan dan hasil pekerjaan agar kualitas renovasi sesuai dengan standar yang telah ditetapkan. Mengingat masih ditemukan beberapa keluhan mengenai hasil perbaikan, seperti kebocoran pada bagian atap dan hasil renovasi yang belum sepenuhnya sesuai dengan harapan penerima manfaat, evaluasi terhadap kualitas pekerjaan perlu dilakukan secara berkala sebagai bahan perbaikan pelaksanaan program pada periode berikutnya.</w:t>
      </w:r>
    </w:p>
    <w:p>
      <w:pPr>
        <w:pStyle w:val="ListParagraph"/>
        <w:numPr>
          <w:ilvl w:val="0"/>
          <w:numId w:val="3"/>
        </w:numPr>
        <w:tabs>
          <w:tab w:pos="488" w:val="left" w:leader="none"/>
        </w:tabs>
        <w:spacing w:line="240" w:lineRule="auto" w:before="2" w:after="0"/>
        <w:ind w:left="488" w:right="42" w:hanging="361"/>
        <w:jc w:val="both"/>
        <w:rPr>
          <w:sz w:val="20"/>
        </w:rPr>
      </w:pPr>
      <w:r>
        <w:rPr>
          <w:sz w:val="20"/>
        </w:rPr>
        <w:t>Pemerintah kelurahan diharapkan dapat terus meningkatkan</w:t>
      </w:r>
      <w:r>
        <w:rPr>
          <w:spacing w:val="-1"/>
          <w:sz w:val="20"/>
        </w:rPr>
        <w:t> </w:t>
      </w:r>
      <w:r>
        <w:rPr>
          <w:sz w:val="20"/>
        </w:rPr>
        <w:t>sosialisasi</w:t>
      </w:r>
      <w:r>
        <w:rPr>
          <w:spacing w:val="-5"/>
          <w:sz w:val="20"/>
        </w:rPr>
        <w:t> </w:t>
      </w:r>
      <w:r>
        <w:rPr>
          <w:sz w:val="20"/>
        </w:rPr>
        <w:t>mengenai mekanisme dan persyaratan Program Perbaikan Rumah kepada masyarakat. Selain itu, proses pendataan dan pengusulan</w:t>
      </w:r>
      <w:r>
        <w:rPr>
          <w:spacing w:val="-13"/>
          <w:sz w:val="20"/>
        </w:rPr>
        <w:t> </w:t>
      </w:r>
      <w:r>
        <w:rPr>
          <w:sz w:val="20"/>
        </w:rPr>
        <w:t>calon</w:t>
      </w:r>
      <w:r>
        <w:rPr>
          <w:spacing w:val="-12"/>
          <w:sz w:val="20"/>
        </w:rPr>
        <w:t> </w:t>
      </w:r>
      <w:r>
        <w:rPr>
          <w:sz w:val="20"/>
        </w:rPr>
        <w:t>penerima</w:t>
      </w:r>
      <w:r>
        <w:rPr>
          <w:spacing w:val="-13"/>
          <w:sz w:val="20"/>
        </w:rPr>
        <w:t> </w:t>
      </w:r>
      <w:r>
        <w:rPr>
          <w:sz w:val="20"/>
        </w:rPr>
        <w:t>manfaat</w:t>
      </w:r>
      <w:r>
        <w:rPr>
          <w:spacing w:val="-10"/>
          <w:sz w:val="20"/>
        </w:rPr>
        <w:t> </w:t>
      </w:r>
      <w:r>
        <w:rPr>
          <w:sz w:val="20"/>
        </w:rPr>
        <w:t>perlu</w:t>
      </w:r>
      <w:r>
        <w:rPr>
          <w:spacing w:val="-12"/>
          <w:sz w:val="20"/>
        </w:rPr>
        <w:t> </w:t>
      </w:r>
      <w:r>
        <w:rPr>
          <w:sz w:val="20"/>
        </w:rPr>
        <w:t>dilakukan secara cermat dan sesuai dengan kondisi riil di lapangan agar bantuan dapat diberikan kepada masyarakat yang benar-benar membutuhkan serta tepat sasaran.</w:t>
      </w:r>
    </w:p>
    <w:p>
      <w:pPr>
        <w:pStyle w:val="ListParagraph"/>
        <w:numPr>
          <w:ilvl w:val="0"/>
          <w:numId w:val="3"/>
        </w:numPr>
        <w:tabs>
          <w:tab w:pos="488" w:val="left" w:leader="none"/>
        </w:tabs>
        <w:spacing w:line="240" w:lineRule="auto" w:before="2" w:after="0"/>
        <w:ind w:left="488" w:right="45" w:hanging="361"/>
        <w:jc w:val="both"/>
        <w:rPr>
          <w:sz w:val="20"/>
        </w:rPr>
      </w:pPr>
      <w:r>
        <w:rPr>
          <w:sz w:val="20"/>
        </w:rPr>
        <w:t>Masyarakat penerima manfaat diharapkan dapat menjaga dan merawat hasil perbaikan rumah yang telah diberikan sehingga kualitas bangunan tetap terpelihara dan manfaat program dapat dirasakan dalam jangka waktu yang lebih lama.</w:t>
      </w:r>
    </w:p>
    <w:p>
      <w:pPr>
        <w:pStyle w:val="Heading1"/>
        <w:jc w:val="both"/>
      </w:pPr>
      <w:r>
        <w:rPr>
          <w:b w:val="0"/>
        </w:rPr>
        <w:br w:type="column"/>
      </w:r>
      <w:r>
        <w:rPr/>
        <w:t>DAFTAR</w:t>
      </w:r>
      <w:r>
        <w:rPr>
          <w:spacing w:val="-7"/>
        </w:rPr>
        <w:t> </w:t>
      </w:r>
      <w:r>
        <w:rPr>
          <w:spacing w:val="-2"/>
        </w:rPr>
        <w:t>PUSTAKA</w:t>
      </w:r>
    </w:p>
    <w:p>
      <w:pPr>
        <w:pStyle w:val="BodyText"/>
        <w:tabs>
          <w:tab w:pos="1338" w:val="left" w:leader="none"/>
          <w:tab w:pos="2007" w:val="left" w:leader="none"/>
          <w:tab w:pos="2876" w:val="left" w:leader="none"/>
          <w:tab w:pos="3476" w:val="left" w:leader="none"/>
        </w:tabs>
        <w:ind w:left="608" w:right="270" w:hanging="481"/>
        <w:jc w:val="left"/>
      </w:pPr>
      <w:r>
        <w:rPr/>
        <w:t>BPS</w:t>
      </w:r>
      <w:r>
        <w:rPr>
          <w:spacing w:val="26"/>
        </w:rPr>
        <w:t> </w:t>
      </w:r>
      <w:r>
        <w:rPr/>
        <w:t>Kota</w:t>
      </w:r>
      <w:r>
        <w:rPr>
          <w:spacing w:val="28"/>
        </w:rPr>
        <w:t> </w:t>
      </w:r>
      <w:r>
        <w:rPr/>
        <w:t>Surabaya.</w:t>
      </w:r>
      <w:r>
        <w:rPr>
          <w:spacing w:val="27"/>
        </w:rPr>
        <w:t> </w:t>
      </w:r>
      <w:r>
        <w:rPr/>
        <w:t>(2024).</w:t>
      </w:r>
      <w:r>
        <w:rPr>
          <w:spacing w:val="27"/>
        </w:rPr>
        <w:t> </w:t>
      </w:r>
      <w:r>
        <w:rPr/>
        <w:t>Kecamatan</w:t>
      </w:r>
      <w:r>
        <w:rPr>
          <w:spacing w:val="27"/>
        </w:rPr>
        <w:t> </w:t>
      </w:r>
      <w:r>
        <w:rPr/>
        <w:t>Genteng. </w:t>
      </w:r>
      <w:r>
        <w:rPr>
          <w:i/>
          <w:spacing w:val="-4"/>
        </w:rPr>
        <w:t>Badan</w:t>
      </w:r>
      <w:r>
        <w:rPr>
          <w:i/>
        </w:rPr>
        <w:tab/>
      </w:r>
      <w:r>
        <w:rPr>
          <w:i/>
          <w:spacing w:val="-4"/>
        </w:rPr>
        <w:t>Pusat</w:t>
      </w:r>
      <w:r>
        <w:rPr>
          <w:i/>
        </w:rPr>
        <w:tab/>
      </w:r>
      <w:r>
        <w:rPr>
          <w:i/>
          <w:spacing w:val="-2"/>
        </w:rPr>
        <w:t>Statistik</w:t>
      </w:r>
      <w:r>
        <w:rPr>
          <w:i/>
        </w:rPr>
        <w:tab/>
      </w:r>
      <w:r>
        <w:rPr>
          <w:i/>
          <w:spacing w:val="-4"/>
        </w:rPr>
        <w:t>Kota</w:t>
      </w:r>
      <w:r>
        <w:rPr>
          <w:i/>
        </w:rPr>
        <w:tab/>
      </w:r>
      <w:r>
        <w:rPr>
          <w:i/>
          <w:spacing w:val="-2"/>
        </w:rPr>
        <w:t>Surabaya</w:t>
      </w:r>
      <w:r>
        <w:rPr>
          <w:spacing w:val="-2"/>
        </w:rPr>
        <w:t>. </w:t>
      </w:r>
      <w:hyperlink r:id="rId14">
        <w:r>
          <w:rPr>
            <w:spacing w:val="-2"/>
          </w:rPr>
          <w:t>https://surabayakota.bps.go.id/id/publication/ 2024/09/26/a35a68c34f07cda587c5798c/keca</w:t>
        </w:r>
      </w:hyperlink>
      <w:r>
        <w:rPr>
          <w:spacing w:val="-2"/>
        </w:rPr>
        <w:t> matan-genteng-dalam-angka-2024.html</w:t>
      </w:r>
    </w:p>
    <w:p>
      <w:pPr>
        <w:spacing w:before="1"/>
        <w:ind w:left="608" w:right="269" w:hanging="481"/>
        <w:jc w:val="both"/>
        <w:rPr>
          <w:sz w:val="20"/>
        </w:rPr>
      </w:pPr>
      <w:r>
        <w:rPr>
          <w:sz w:val="20"/>
        </w:rPr>
        <w:t>Fadhilah, R. A., Marseto, &amp; Oktafia, R. (2024). Program Bantuan Stimulan Perumahan Swadaya Untuk Pengurangan Jumlah Rumah Tidak Layak Huni. </w:t>
      </w:r>
      <w:r>
        <w:rPr>
          <w:i/>
          <w:sz w:val="20"/>
        </w:rPr>
        <w:t>Amal Ilmiah: Jurnal Pengabdian</w:t>
      </w:r>
      <w:r>
        <w:rPr>
          <w:i/>
          <w:spacing w:val="28"/>
          <w:sz w:val="20"/>
        </w:rPr>
        <w:t> </w:t>
      </w:r>
      <w:r>
        <w:rPr>
          <w:i/>
          <w:sz w:val="20"/>
        </w:rPr>
        <w:t>Kepada</w:t>
      </w:r>
      <w:r>
        <w:rPr>
          <w:i/>
          <w:spacing w:val="29"/>
          <w:sz w:val="20"/>
        </w:rPr>
        <w:t> </w:t>
      </w:r>
      <w:r>
        <w:rPr>
          <w:i/>
          <w:sz w:val="20"/>
        </w:rPr>
        <w:t>Masyarakat</w:t>
      </w:r>
      <w:r>
        <w:rPr>
          <w:sz w:val="20"/>
        </w:rPr>
        <w:t>,</w:t>
      </w:r>
      <w:r>
        <w:rPr>
          <w:spacing w:val="20"/>
          <w:sz w:val="20"/>
        </w:rPr>
        <w:t> </w:t>
      </w:r>
      <w:r>
        <w:rPr>
          <w:i/>
          <w:sz w:val="20"/>
        </w:rPr>
        <w:t>5</w:t>
      </w:r>
      <w:r>
        <w:rPr>
          <w:sz w:val="20"/>
        </w:rPr>
        <w:t>(2),</w:t>
      </w:r>
      <w:r>
        <w:rPr>
          <w:spacing w:val="29"/>
          <w:sz w:val="20"/>
        </w:rPr>
        <w:t> </w:t>
      </w:r>
      <w:r>
        <w:rPr>
          <w:spacing w:val="-4"/>
          <w:sz w:val="20"/>
        </w:rPr>
        <w:t>226–</w:t>
      </w:r>
    </w:p>
    <w:p>
      <w:pPr>
        <w:pStyle w:val="BodyText"/>
        <w:spacing w:before="1"/>
        <w:ind w:left="608"/>
        <w:jc w:val="left"/>
      </w:pPr>
      <w:r>
        <w:rPr>
          <w:spacing w:val="-4"/>
        </w:rPr>
        <w:t>235.</w:t>
      </w:r>
    </w:p>
    <w:p>
      <w:pPr>
        <w:pStyle w:val="BodyText"/>
        <w:ind w:left="127"/>
      </w:pPr>
      <w:r>
        <w:rPr/>
        <w:t>Ginting,</w:t>
      </w:r>
      <w:r>
        <w:rPr>
          <w:spacing w:val="-1"/>
        </w:rPr>
        <w:t> </w:t>
      </w:r>
      <w:r>
        <w:rPr/>
        <w:t>N. I.</w:t>
      </w:r>
      <w:r>
        <w:rPr>
          <w:spacing w:val="-1"/>
        </w:rPr>
        <w:t> </w:t>
      </w:r>
      <w:r>
        <w:rPr/>
        <w:t>A.,</w:t>
      </w:r>
      <w:r>
        <w:rPr>
          <w:spacing w:val="8"/>
        </w:rPr>
        <w:t> </w:t>
      </w:r>
      <w:r>
        <w:rPr/>
        <w:t>Irena, S.</w:t>
      </w:r>
      <w:r>
        <w:rPr>
          <w:spacing w:val="-1"/>
        </w:rPr>
        <w:t> </w:t>
      </w:r>
      <w:r>
        <w:rPr/>
        <w:t>N. F., &amp;</w:t>
      </w:r>
      <w:r>
        <w:rPr>
          <w:spacing w:val="3"/>
        </w:rPr>
        <w:t> </w:t>
      </w:r>
      <w:r>
        <w:rPr/>
        <w:t>Marchegiani, </w:t>
      </w:r>
      <w:r>
        <w:rPr>
          <w:spacing w:val="-5"/>
        </w:rPr>
        <w:t>A.</w:t>
      </w:r>
    </w:p>
    <w:p>
      <w:pPr>
        <w:spacing w:before="0"/>
        <w:ind w:left="608" w:right="269" w:firstLine="0"/>
        <w:jc w:val="both"/>
        <w:rPr>
          <w:sz w:val="20"/>
        </w:rPr>
      </w:pPr>
      <w:r>
        <w:rPr>
          <w:sz w:val="20"/>
        </w:rPr>
        <w:t>D. (2026). Evaluasi Program Rumah Tidak Layak</w:t>
      </w:r>
      <w:r>
        <w:rPr>
          <w:spacing w:val="-13"/>
          <w:sz w:val="20"/>
        </w:rPr>
        <w:t> </w:t>
      </w:r>
      <w:r>
        <w:rPr>
          <w:sz w:val="20"/>
        </w:rPr>
        <w:t>Huni</w:t>
      </w:r>
      <w:r>
        <w:rPr>
          <w:spacing w:val="-12"/>
          <w:sz w:val="20"/>
        </w:rPr>
        <w:t> </w:t>
      </w:r>
      <w:r>
        <w:rPr>
          <w:sz w:val="20"/>
        </w:rPr>
        <w:t>(Rutilahu)</w:t>
      </w:r>
      <w:r>
        <w:rPr>
          <w:spacing w:val="-13"/>
          <w:sz w:val="20"/>
        </w:rPr>
        <w:t> </w:t>
      </w:r>
      <w:r>
        <w:rPr>
          <w:sz w:val="20"/>
        </w:rPr>
        <w:t>di</w:t>
      </w:r>
      <w:r>
        <w:rPr>
          <w:spacing w:val="-12"/>
          <w:sz w:val="20"/>
        </w:rPr>
        <w:t> </w:t>
      </w:r>
      <w:r>
        <w:rPr>
          <w:sz w:val="20"/>
        </w:rPr>
        <w:t>Kelurahan</w:t>
      </w:r>
      <w:r>
        <w:rPr>
          <w:spacing w:val="-13"/>
          <w:sz w:val="20"/>
        </w:rPr>
        <w:t> </w:t>
      </w:r>
      <w:r>
        <w:rPr>
          <w:sz w:val="20"/>
        </w:rPr>
        <w:t>Sidotopo, Kecamatan Semampir, Kota Surabaya. </w:t>
      </w:r>
      <w:r>
        <w:rPr>
          <w:i/>
          <w:sz w:val="20"/>
        </w:rPr>
        <w:t>Al-Zayn: Jurnal Ilmu Sosial &amp; Hukum Al-Zayn: Jurnal Ilmu Sosial &amp; Hukum</w:t>
      </w:r>
      <w:r>
        <w:rPr>
          <w:sz w:val="20"/>
        </w:rPr>
        <w:t>, </w:t>
      </w:r>
      <w:r>
        <w:rPr>
          <w:i/>
          <w:sz w:val="20"/>
        </w:rPr>
        <w:t>4</w:t>
      </w:r>
      <w:r>
        <w:rPr>
          <w:sz w:val="20"/>
        </w:rPr>
        <w:t>(3), 6579–</w:t>
      </w:r>
      <w:r>
        <w:rPr>
          <w:spacing w:val="-2"/>
          <w:sz w:val="20"/>
        </w:rPr>
        <w:t>6588.</w:t>
      </w:r>
    </w:p>
    <w:p>
      <w:pPr>
        <w:pStyle w:val="BodyText"/>
        <w:spacing w:before="1"/>
        <w:ind w:left="608" w:right="271" w:hanging="481"/>
      </w:pPr>
      <w:r>
        <w:rPr/>
        <w:t>Hapsari, R. D., &amp; Widyastuti, D. A. (2020). Dinamika aktivitas perkotaan dan struktur ruang pusat Kota Surabaya. </w:t>
      </w:r>
      <w:r>
        <w:rPr>
          <w:i/>
        </w:rPr>
        <w:t>Jurnal Tata Kota Dan Daerah</w:t>
      </w:r>
      <w:r>
        <w:rPr/>
        <w:t>, </w:t>
      </w:r>
      <w:r>
        <w:rPr>
          <w:i/>
        </w:rPr>
        <w:t>12</w:t>
      </w:r>
      <w:r>
        <w:rPr/>
        <w:t>(2), 89–102.</w:t>
      </w:r>
    </w:p>
    <w:p>
      <w:pPr>
        <w:spacing w:before="1"/>
        <w:ind w:left="608" w:right="276" w:hanging="481"/>
        <w:jc w:val="both"/>
        <w:rPr>
          <w:sz w:val="20"/>
        </w:rPr>
      </w:pPr>
      <w:r>
        <w:rPr>
          <w:sz w:val="20"/>
        </w:rPr>
        <w:t>Irawan, R., Triana, E., &amp; Zulherman. (2024). </w:t>
      </w:r>
      <w:r>
        <w:rPr>
          <w:i/>
          <w:sz w:val="20"/>
        </w:rPr>
        <w:t>Evaluasi Pelaksanaan Perbaikan Rumah Tidak Layak Huni di Kota Padang</w:t>
      </w:r>
      <w:r>
        <w:rPr>
          <w:sz w:val="20"/>
        </w:rPr>
        <w:t>.</w:t>
      </w:r>
    </w:p>
    <w:p>
      <w:pPr>
        <w:pStyle w:val="BodyText"/>
        <w:ind w:left="608" w:right="275" w:hanging="481"/>
      </w:pPr>
      <w:r>
        <w:rPr/>
        <w:t>Ismasudayanti, Azizah, C., &amp; Zubaidah, S. (2024). Analisis Dampak Program Rehabilitasi Rumah Tidak Layak Huni. </w:t>
      </w:r>
      <w:r>
        <w:rPr>
          <w:i/>
        </w:rPr>
        <w:t>Jurnal Serambi Engineering</w:t>
      </w:r>
      <w:r>
        <w:rPr/>
        <w:t>, </w:t>
      </w:r>
      <w:r>
        <w:rPr>
          <w:i/>
        </w:rPr>
        <w:t>IX</w:t>
      </w:r>
      <w:r>
        <w:rPr/>
        <w:t>(4), 10967–10978.</w:t>
      </w:r>
    </w:p>
    <w:p>
      <w:pPr>
        <w:pStyle w:val="BodyText"/>
        <w:spacing w:before="1"/>
        <w:ind w:left="608" w:right="274" w:hanging="481"/>
      </w:pPr>
      <w:r>
        <w:rPr/>
        <w:t>Khoirunnisa, N., &amp; Salomo, R. V. (2019). Keterlibatan Masyarakat dalam Program Rumah Tidak Layak Huni ( RTLH ) di Desa Pabedilankulon Kecamatan </w:t>
      </w:r>
      <w:r>
        <w:rPr/>
        <w:t>Pabedilan Kabupaten Cirebon. </w:t>
      </w:r>
      <w:r>
        <w:rPr>
          <w:i/>
        </w:rPr>
        <w:t>Journal of Public Sector Innovations</w:t>
      </w:r>
      <w:r>
        <w:rPr/>
        <w:t>, </w:t>
      </w:r>
      <w:r>
        <w:rPr>
          <w:i/>
        </w:rPr>
        <w:t>4</w:t>
      </w:r>
      <w:r>
        <w:rPr/>
        <w:t>(1), 1–7.</w:t>
      </w:r>
    </w:p>
    <w:p>
      <w:pPr>
        <w:pStyle w:val="BodyText"/>
        <w:spacing w:before="1"/>
        <w:ind w:left="608" w:right="286" w:hanging="481"/>
      </w:pPr>
      <w:r>
        <w:rPr/>
        <w:t>Ma’rifah, I. A., Surjono, &amp; Suluh, W. I. N. (2022). PARTISIPASI MASYARAKAT DALAM PROGRAM KOTA TANPA KUMUH (KOTAKU)</w:t>
      </w:r>
      <w:r>
        <w:rPr>
          <w:spacing w:val="65"/>
          <w:w w:val="150"/>
        </w:rPr>
        <w:t> </w:t>
      </w:r>
      <w:r>
        <w:rPr/>
        <w:t>DI</w:t>
      </w:r>
      <w:r>
        <w:rPr>
          <w:spacing w:val="65"/>
          <w:w w:val="150"/>
        </w:rPr>
        <w:t> </w:t>
      </w:r>
      <w:r>
        <w:rPr/>
        <w:t>KOTA</w:t>
      </w:r>
      <w:r>
        <w:rPr>
          <w:spacing w:val="58"/>
          <w:w w:val="150"/>
        </w:rPr>
        <w:t> </w:t>
      </w:r>
      <w:r>
        <w:rPr/>
        <w:t>MALANG</w:t>
      </w:r>
      <w:r>
        <w:rPr>
          <w:spacing w:val="58"/>
          <w:w w:val="150"/>
        </w:rPr>
        <w:t> </w:t>
      </w:r>
      <w:r>
        <w:rPr>
          <w:spacing w:val="-2"/>
        </w:rPr>
        <w:t>(Studi</w:t>
      </w:r>
    </w:p>
    <w:p>
      <w:pPr>
        <w:spacing w:before="1"/>
        <w:ind w:left="608" w:right="273" w:firstLine="0"/>
        <w:jc w:val="both"/>
        <w:rPr>
          <w:sz w:val="20"/>
        </w:rPr>
      </w:pPr>
      <w:r>
        <w:rPr>
          <w:sz w:val="20"/>
        </w:rPr>
        <w:t>Kasus di Kelurahan Kotalama dan Kelurahan Sukun). </w:t>
      </w:r>
      <w:r>
        <w:rPr>
          <w:i/>
          <w:sz w:val="20"/>
        </w:rPr>
        <w:t>Planning for Urban Region and Environment</w:t>
      </w:r>
      <w:r>
        <w:rPr>
          <w:sz w:val="20"/>
        </w:rPr>
        <w:t>, </w:t>
      </w:r>
      <w:r>
        <w:rPr>
          <w:i/>
          <w:sz w:val="20"/>
        </w:rPr>
        <w:t>11</w:t>
      </w:r>
      <w:r>
        <w:rPr>
          <w:sz w:val="20"/>
        </w:rPr>
        <w:t>(1), 101–112.</w:t>
      </w:r>
    </w:p>
    <w:p>
      <w:pPr>
        <w:pStyle w:val="BodyText"/>
        <w:tabs>
          <w:tab w:pos="847" w:val="left" w:leader="none"/>
          <w:tab w:pos="917" w:val="left" w:leader="none"/>
          <w:tab w:pos="1107" w:val="left" w:leader="none"/>
          <w:tab w:pos="1706" w:val="left" w:leader="none"/>
          <w:tab w:pos="1916" w:val="left" w:leader="none"/>
          <w:tab w:pos="2276" w:val="left" w:leader="none"/>
          <w:tab w:pos="2589" w:val="left" w:leader="none"/>
          <w:tab w:pos="2794" w:val="left" w:leader="none"/>
          <w:tab w:pos="3035" w:val="left" w:leader="none"/>
          <w:tab w:pos="3219" w:val="left" w:leader="none"/>
        </w:tabs>
        <w:ind w:left="127" w:right="275"/>
        <w:jc w:val="right"/>
      </w:pPr>
      <w:r>
        <w:rPr/>
        <w:t>Maryono,</w:t>
      </w:r>
      <w:r>
        <w:rPr>
          <w:spacing w:val="-3"/>
        </w:rPr>
        <w:t> </w:t>
      </w:r>
      <w:r>
        <w:rPr/>
        <w:t>Y.</w:t>
      </w:r>
      <w:r>
        <w:rPr>
          <w:spacing w:val="-3"/>
        </w:rPr>
        <w:t> </w:t>
      </w:r>
      <w:r>
        <w:rPr/>
        <w:t>N.,</w:t>
      </w:r>
      <w:r>
        <w:rPr>
          <w:spacing w:val="-3"/>
        </w:rPr>
        <w:t> </w:t>
      </w:r>
      <w:r>
        <w:rPr/>
        <w:t>Jamil,</w:t>
      </w:r>
      <w:r>
        <w:rPr>
          <w:spacing w:val="-3"/>
        </w:rPr>
        <w:t> </w:t>
      </w:r>
      <w:r>
        <w:rPr/>
        <w:t>A.</w:t>
      </w:r>
      <w:r>
        <w:rPr>
          <w:spacing w:val="-3"/>
        </w:rPr>
        <w:t> </w:t>
      </w:r>
      <w:r>
        <w:rPr/>
        <w:t>M.</w:t>
      </w:r>
      <w:r>
        <w:rPr>
          <w:spacing w:val="-3"/>
        </w:rPr>
        <w:t> </w:t>
      </w:r>
      <w:r>
        <w:rPr/>
        <w:t>M.,</w:t>
      </w:r>
      <w:r>
        <w:rPr>
          <w:spacing w:val="-12"/>
        </w:rPr>
        <w:t> </w:t>
      </w:r>
      <w:r>
        <w:rPr/>
        <w:t>&amp; Kurniawati,</w:t>
      </w:r>
      <w:r>
        <w:rPr>
          <w:spacing w:val="-3"/>
        </w:rPr>
        <w:t> </w:t>
      </w:r>
      <w:r>
        <w:rPr/>
        <w:t>D. </w:t>
      </w:r>
      <w:r>
        <w:rPr>
          <w:spacing w:val="-2"/>
        </w:rPr>
        <w:t>(2019).</w:t>
      </w:r>
      <w:r>
        <w:rPr/>
        <w:tab/>
        <w:tab/>
      </w:r>
      <w:r>
        <w:rPr>
          <w:spacing w:val="-41"/>
        </w:rPr>
        <w:t> </w:t>
      </w:r>
      <w:r>
        <w:rPr>
          <w:spacing w:val="-2"/>
        </w:rPr>
        <w:t>Pemetaan</w:t>
      </w:r>
      <w:r>
        <w:rPr/>
        <w:tab/>
      </w:r>
      <w:r>
        <w:rPr>
          <w:spacing w:val="-2"/>
        </w:rPr>
        <w:t>Kualitas</w:t>
      </w:r>
      <w:r>
        <w:rPr/>
        <w:tab/>
        <w:tab/>
      </w:r>
      <w:r>
        <w:rPr>
          <w:spacing w:val="-2"/>
        </w:rPr>
        <w:t>Permukiman dengan</w:t>
      </w:r>
      <w:r>
        <w:rPr/>
        <w:tab/>
        <w:tab/>
      </w:r>
      <w:r>
        <w:rPr>
          <w:spacing w:val="-2"/>
        </w:rPr>
        <w:t>Menggunakan</w:t>
      </w:r>
      <w:r>
        <w:rPr/>
        <w:tab/>
      </w:r>
      <w:r>
        <w:rPr>
          <w:spacing w:val="-2"/>
        </w:rPr>
        <w:t>Sistem</w:t>
      </w:r>
      <w:r>
        <w:rPr/>
        <w:tab/>
      </w:r>
      <w:r>
        <w:rPr>
          <w:spacing w:val="-2"/>
        </w:rPr>
        <w:t>Informasi </w:t>
      </w:r>
      <w:r>
        <w:rPr/>
        <w:t>Geografis</w:t>
      </w:r>
      <w:r>
        <w:rPr>
          <w:spacing w:val="40"/>
        </w:rPr>
        <w:t> </w:t>
      </w:r>
      <w:r>
        <w:rPr/>
        <w:t>di</w:t>
      </w:r>
      <w:r>
        <w:rPr>
          <w:spacing w:val="40"/>
        </w:rPr>
        <w:t> </w:t>
      </w:r>
      <w:r>
        <w:rPr/>
        <w:t>Kelurahan</w:t>
      </w:r>
      <w:r>
        <w:rPr>
          <w:spacing w:val="40"/>
        </w:rPr>
        <w:t> </w:t>
      </w:r>
      <w:r>
        <w:rPr/>
        <w:t>Sukun</w:t>
      </w:r>
      <w:r>
        <w:rPr>
          <w:spacing w:val="40"/>
        </w:rPr>
        <w:t> </w:t>
      </w:r>
      <w:r>
        <w:rPr/>
        <w:t>,</w:t>
      </w:r>
      <w:r>
        <w:rPr>
          <w:spacing w:val="40"/>
        </w:rPr>
        <w:t> </w:t>
      </w:r>
      <w:r>
        <w:rPr/>
        <w:t>Kecamatan </w:t>
      </w:r>
      <w:r>
        <w:rPr>
          <w:spacing w:val="-2"/>
        </w:rPr>
        <w:t>Sukun</w:t>
      </w:r>
      <w:r>
        <w:rPr/>
        <w:tab/>
      </w:r>
      <w:r>
        <w:rPr>
          <w:spacing w:val="-10"/>
        </w:rPr>
        <w:t>,</w:t>
      </w:r>
      <w:r>
        <w:rPr/>
        <w:tab/>
        <w:tab/>
      </w:r>
      <w:r>
        <w:rPr>
          <w:spacing w:val="-4"/>
        </w:rPr>
        <w:t>Kota</w:t>
      </w:r>
      <w:r>
        <w:rPr/>
        <w:tab/>
      </w:r>
      <w:r>
        <w:rPr>
          <w:spacing w:val="-2"/>
        </w:rPr>
        <w:t>Malang.</w:t>
      </w:r>
      <w:r>
        <w:rPr/>
        <w:tab/>
      </w:r>
      <w:r>
        <w:rPr>
          <w:i/>
          <w:spacing w:val="-4"/>
        </w:rPr>
        <w:t>JPIG</w:t>
      </w:r>
      <w:r>
        <w:rPr>
          <w:i/>
        </w:rPr>
        <w:tab/>
        <w:tab/>
      </w:r>
      <w:r>
        <w:rPr>
          <w:i/>
          <w:spacing w:val="-2"/>
        </w:rPr>
        <w:t>(Jurnal </w:t>
      </w:r>
      <w:r>
        <w:rPr>
          <w:i/>
        </w:rPr>
        <w:t>Pendidikan Dan Ilmu Geografi)</w:t>
      </w:r>
      <w:r>
        <w:rPr/>
        <w:t>, </w:t>
      </w:r>
      <w:r>
        <w:rPr>
          <w:i/>
        </w:rPr>
        <w:t>4</w:t>
      </w:r>
      <w:r>
        <w:rPr/>
        <w:t>(2), 72–86. Nofrini,</w:t>
      </w:r>
      <w:r>
        <w:rPr>
          <w:spacing w:val="40"/>
        </w:rPr>
        <w:t> </w:t>
      </w:r>
      <w:r>
        <w:rPr/>
        <w:t>A.,</w:t>
      </w:r>
      <w:r>
        <w:rPr>
          <w:spacing w:val="40"/>
        </w:rPr>
        <w:t> </w:t>
      </w:r>
      <w:r>
        <w:rPr/>
        <w:t>Yuliani,</w:t>
      </w:r>
      <w:r>
        <w:rPr>
          <w:spacing w:val="40"/>
        </w:rPr>
        <w:t> </w:t>
      </w:r>
      <w:r>
        <w:rPr/>
        <w:t>S.,</w:t>
      </w:r>
      <w:r>
        <w:rPr>
          <w:spacing w:val="40"/>
        </w:rPr>
        <w:t> </w:t>
      </w:r>
      <w:r>
        <w:rPr/>
        <w:t>&amp;</w:t>
      </w:r>
      <w:r>
        <w:rPr>
          <w:spacing w:val="40"/>
        </w:rPr>
        <w:t> </w:t>
      </w:r>
      <w:r>
        <w:rPr/>
        <w:t>Prasetyo,</w:t>
      </w:r>
      <w:r>
        <w:rPr>
          <w:spacing w:val="40"/>
        </w:rPr>
        <w:t> </w:t>
      </w:r>
      <w:r>
        <w:rPr/>
        <w:t>E.</w:t>
      </w:r>
      <w:r>
        <w:rPr>
          <w:spacing w:val="40"/>
        </w:rPr>
        <w:t> </w:t>
      </w:r>
      <w:r>
        <w:rPr/>
        <w:t>(2023). Evaluasi</w:t>
      </w:r>
      <w:r>
        <w:rPr>
          <w:spacing w:val="80"/>
        </w:rPr>
        <w:t> </w:t>
      </w:r>
      <w:r>
        <w:rPr/>
        <w:t>kebijakan</w:t>
      </w:r>
      <w:r>
        <w:rPr>
          <w:spacing w:val="80"/>
        </w:rPr>
        <w:t> </w:t>
      </w:r>
      <w:r>
        <w:rPr/>
        <w:t>perbaikan</w:t>
      </w:r>
      <w:r>
        <w:rPr>
          <w:spacing w:val="80"/>
        </w:rPr>
        <w:t> </w:t>
      </w:r>
      <w:r>
        <w:rPr/>
        <w:t>rumah</w:t>
      </w:r>
      <w:r>
        <w:rPr>
          <w:spacing w:val="80"/>
        </w:rPr>
        <w:t> </w:t>
      </w:r>
      <w:r>
        <w:rPr/>
        <w:t>tidak</w:t>
      </w:r>
      <w:r>
        <w:rPr>
          <w:spacing w:val="80"/>
        </w:rPr>
        <w:t> </w:t>
      </w:r>
      <w:r>
        <w:rPr/>
        <w:t>layak</w:t>
      </w:r>
      <w:r>
        <w:rPr>
          <w:spacing w:val="40"/>
        </w:rPr>
        <w:t> </w:t>
      </w:r>
      <w:r>
        <w:rPr/>
        <w:t>huni</w:t>
      </w:r>
      <w:r>
        <w:rPr>
          <w:spacing w:val="40"/>
        </w:rPr>
        <w:t> </w:t>
      </w:r>
      <w:r>
        <w:rPr/>
        <w:t>di</w:t>
      </w:r>
      <w:r>
        <w:rPr>
          <w:spacing w:val="40"/>
        </w:rPr>
        <w:t> </w:t>
      </w:r>
      <w:r>
        <w:rPr/>
        <w:t>kawasan</w:t>
      </w:r>
      <w:r>
        <w:rPr>
          <w:spacing w:val="40"/>
        </w:rPr>
        <w:t> </w:t>
      </w:r>
      <w:r>
        <w:rPr/>
        <w:t>perkotaan</w:t>
      </w:r>
      <w:r>
        <w:rPr>
          <w:spacing w:val="40"/>
        </w:rPr>
        <w:t> </w:t>
      </w:r>
      <w:r>
        <w:rPr/>
        <w:t>Indonesia.</w:t>
      </w:r>
    </w:p>
    <w:p>
      <w:pPr>
        <w:spacing w:before="1"/>
        <w:ind w:left="608" w:right="270" w:firstLine="0"/>
        <w:jc w:val="both"/>
        <w:rPr>
          <w:sz w:val="20"/>
        </w:rPr>
      </w:pPr>
      <w:r>
        <w:rPr>
          <w:i/>
          <w:sz w:val="20"/>
        </w:rPr>
        <w:t>Jurnal Pembangunan Wilayah Dan Kota</w:t>
      </w:r>
      <w:r>
        <w:rPr>
          <w:sz w:val="20"/>
        </w:rPr>
        <w:t>, </w:t>
      </w:r>
      <w:r>
        <w:rPr>
          <w:i/>
          <w:sz w:val="20"/>
        </w:rPr>
        <w:t>19</w:t>
      </w:r>
      <w:r>
        <w:rPr>
          <w:sz w:val="20"/>
        </w:rPr>
        <w:t>(3), 321–334.</w:t>
      </w:r>
    </w:p>
    <w:p>
      <w:pPr>
        <w:pStyle w:val="BodyText"/>
        <w:spacing w:before="1"/>
        <w:ind w:left="608" w:right="287" w:hanging="481"/>
      </w:pPr>
      <w:r>
        <w:rPr/>
        <w:t>Nursyifa, F. I., &amp; Nareswar, A. (2025). METODE EVALUATIF DALAM PROGRAM UPGRADING</w:t>
      </w:r>
      <w:r>
        <w:rPr>
          <w:spacing w:val="-2"/>
        </w:rPr>
        <w:t> </w:t>
      </w:r>
      <w:r>
        <w:rPr/>
        <w:t>PERMUKIMAN</w:t>
      </w:r>
      <w:r>
        <w:rPr>
          <w:spacing w:val="-2"/>
        </w:rPr>
        <w:t> </w:t>
      </w:r>
      <w:r>
        <w:rPr/>
        <w:t>KUMUH</w:t>
      </w:r>
      <w:r>
        <w:rPr>
          <w:spacing w:val="-2"/>
        </w:rPr>
        <w:t> </w:t>
      </w:r>
      <w:r>
        <w:rPr>
          <w:spacing w:val="-5"/>
        </w:rPr>
        <w:t>DI</w:t>
      </w:r>
    </w:p>
    <w:p>
      <w:pPr>
        <w:spacing w:before="0"/>
        <w:ind w:left="608" w:right="278" w:firstLine="0"/>
        <w:jc w:val="both"/>
        <w:rPr>
          <w:sz w:val="20"/>
        </w:rPr>
      </w:pPr>
      <w:r>
        <w:rPr>
          <w:sz w:val="20"/>
        </w:rPr>
        <w:t>INDONESIA. </w:t>
      </w:r>
      <w:r>
        <w:rPr>
          <w:i/>
          <w:sz w:val="20"/>
        </w:rPr>
        <w:t>JAD Journal of Architectural Design and Development</w:t>
      </w:r>
      <w:r>
        <w:rPr>
          <w:sz w:val="20"/>
        </w:rPr>
        <w:t>, </w:t>
      </w:r>
      <w:r>
        <w:rPr>
          <w:i/>
          <w:sz w:val="20"/>
        </w:rPr>
        <w:t>06</w:t>
      </w:r>
      <w:r>
        <w:rPr>
          <w:sz w:val="20"/>
        </w:rPr>
        <w:t>(02), 139–154. </w:t>
      </w:r>
      <w:hyperlink r:id="rId15">
        <w:r>
          <w:rPr>
            <w:spacing w:val="-2"/>
            <w:sz w:val="20"/>
          </w:rPr>
          <w:t>https://doi.org/10.37253/jad.v6i2.11234</w:t>
        </w:r>
      </w:hyperlink>
    </w:p>
    <w:p>
      <w:pPr>
        <w:pStyle w:val="BodyText"/>
        <w:ind w:left="127"/>
      </w:pPr>
      <w:r>
        <w:rPr/>
        <w:t>Pradana,</w:t>
      </w:r>
      <w:r>
        <w:rPr>
          <w:spacing w:val="58"/>
        </w:rPr>
        <w:t> </w:t>
      </w:r>
      <w:r>
        <w:rPr/>
        <w:t>A.</w:t>
      </w:r>
      <w:r>
        <w:rPr>
          <w:spacing w:val="59"/>
        </w:rPr>
        <w:t> </w:t>
      </w:r>
      <w:r>
        <w:rPr/>
        <w:t>R.,</w:t>
      </w:r>
      <w:r>
        <w:rPr>
          <w:spacing w:val="59"/>
        </w:rPr>
        <w:t> </w:t>
      </w:r>
      <w:r>
        <w:rPr/>
        <w:t>&amp;</w:t>
      </w:r>
      <w:r>
        <w:rPr>
          <w:spacing w:val="53"/>
        </w:rPr>
        <w:t> </w:t>
      </w:r>
      <w:r>
        <w:rPr/>
        <w:t>Sulistyo,</w:t>
      </w:r>
      <w:r>
        <w:rPr>
          <w:spacing w:val="49"/>
        </w:rPr>
        <w:t> </w:t>
      </w:r>
      <w:r>
        <w:rPr/>
        <w:t>B.</w:t>
      </w:r>
      <w:r>
        <w:rPr>
          <w:spacing w:val="59"/>
        </w:rPr>
        <w:t> </w:t>
      </w:r>
      <w:r>
        <w:rPr/>
        <w:t>(2019).</w:t>
      </w:r>
      <w:r>
        <w:rPr>
          <w:spacing w:val="49"/>
        </w:rPr>
        <w:t> </w:t>
      </w:r>
      <w:r>
        <w:rPr>
          <w:spacing w:val="-2"/>
        </w:rPr>
        <w:t>Kualitas</w:t>
      </w:r>
    </w:p>
    <w:p>
      <w:pPr>
        <w:pStyle w:val="BodyText"/>
        <w:spacing w:after="0"/>
        <w:sectPr>
          <w:pgSz w:w="11910" w:h="16830"/>
          <w:pgMar w:header="442" w:footer="729" w:top="1300" w:bottom="920" w:left="1133" w:right="850"/>
          <w:cols w:num="2" w:equalWidth="0">
            <w:col w:w="4692" w:space="663"/>
            <w:col w:w="4572"/>
          </w:cols>
        </w:sectPr>
      </w:pPr>
    </w:p>
    <w:p>
      <w:pPr>
        <w:spacing w:before="81"/>
        <w:ind w:left="958" w:right="5278" w:firstLine="0"/>
        <w:jc w:val="both"/>
        <w:rPr>
          <w:sz w:val="20"/>
        </w:rPr>
      </w:pPr>
      <w:r>
        <w:rPr>
          <w:sz w:val="20"/>
        </w:rPr>
        <w:t>lingkungan permukiman pusat kota Surabaya berdasarkan indikator fisik dan sosial. </w:t>
      </w:r>
      <w:r>
        <w:rPr>
          <w:i/>
          <w:sz w:val="20"/>
        </w:rPr>
        <w:t>Jurnal Wilayah Dan Lingkungan</w:t>
      </w:r>
      <w:r>
        <w:rPr>
          <w:sz w:val="20"/>
        </w:rPr>
        <w:t>, </w:t>
      </w:r>
      <w:r>
        <w:rPr>
          <w:i/>
          <w:sz w:val="20"/>
        </w:rPr>
        <w:t>7</w:t>
      </w:r>
      <w:r>
        <w:rPr>
          <w:sz w:val="20"/>
        </w:rPr>
        <w:t>(2), 101–114.</w:t>
      </w:r>
    </w:p>
    <w:p>
      <w:pPr>
        <w:spacing w:before="1"/>
        <w:ind w:left="958" w:right="5280" w:hanging="481"/>
        <w:jc w:val="both"/>
        <w:rPr>
          <w:sz w:val="20"/>
        </w:rPr>
      </w:pPr>
      <w:r>
        <w:rPr>
          <w:sz w:val="20"/>
        </w:rPr>
        <w:t>Putra, A. F., &amp; Rahman, M. (2021). Ketimpangan spasial pembangunan perkotaan di </w:t>
      </w:r>
      <w:r>
        <w:rPr>
          <w:sz w:val="20"/>
        </w:rPr>
        <w:t>Kota Surabaya. </w:t>
      </w:r>
      <w:r>
        <w:rPr>
          <w:i/>
          <w:sz w:val="20"/>
        </w:rPr>
        <w:t>Jurnal Perencanaan Wilayah Dan Kota</w:t>
      </w:r>
      <w:r>
        <w:rPr>
          <w:sz w:val="20"/>
        </w:rPr>
        <w:t>, </w:t>
      </w:r>
      <w:r>
        <w:rPr>
          <w:i/>
          <w:sz w:val="20"/>
        </w:rPr>
        <w:t>32</w:t>
      </w:r>
      <w:r>
        <w:rPr>
          <w:sz w:val="20"/>
        </w:rPr>
        <w:t>(1), 1–14.</w:t>
      </w:r>
    </w:p>
    <w:p>
      <w:pPr>
        <w:pStyle w:val="BodyText"/>
        <w:ind w:left="958" w:right="5273" w:hanging="481"/>
      </w:pPr>
      <w:r>
        <w:rPr/>
        <w:t>Remalya, A. B., Amanda, L. C. W., Sari, R. B., Larasati, W., &amp; Pertiwi, V. I. (2024). Implementasi Program Dandan Omah di Kelurahan Bulak Banteng Kota Surabaya. </w:t>
      </w:r>
      <w:r>
        <w:rPr>
          <w:i/>
        </w:rPr>
        <w:t>VISA: Journal of Visions and Ideas</w:t>
      </w:r>
      <w:r>
        <w:rPr/>
        <w:t>, </w:t>
      </w:r>
      <w:r>
        <w:rPr>
          <w:i/>
        </w:rPr>
        <w:t>4</w:t>
      </w:r>
      <w:r>
        <w:rPr/>
        <w:t>(3), </w:t>
      </w:r>
      <w:r>
        <w:rPr>
          <w:spacing w:val="-2"/>
        </w:rPr>
        <w:t>1458–1472.</w:t>
      </w:r>
    </w:p>
    <w:p>
      <w:pPr>
        <w:pStyle w:val="BodyText"/>
        <w:spacing w:before="1"/>
        <w:ind w:left="958" w:right="5280" w:hanging="481"/>
      </w:pPr>
      <w:r>
        <w:rPr/>
        <w:drawing>
          <wp:anchor distT="0" distB="0" distL="0" distR="0" allowOverlap="1" layoutInCell="1" locked="0" behindDoc="1" simplePos="0" relativeHeight="487189504">
            <wp:simplePos x="0" y="0"/>
            <wp:positionH relativeFrom="page">
              <wp:posOffset>1860189</wp:posOffset>
            </wp:positionH>
            <wp:positionV relativeFrom="paragraph">
              <wp:posOffset>225985</wp:posOffset>
            </wp:positionV>
            <wp:extent cx="3841835" cy="4687953"/>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9" cstate="print"/>
                    <a:stretch>
                      <a:fillRect/>
                    </a:stretch>
                  </pic:blipFill>
                  <pic:spPr>
                    <a:xfrm>
                      <a:off x="0" y="0"/>
                      <a:ext cx="3841835" cy="4687953"/>
                    </a:xfrm>
                    <a:prstGeom prst="rect">
                      <a:avLst/>
                    </a:prstGeom>
                  </pic:spPr>
                </pic:pic>
              </a:graphicData>
            </a:graphic>
          </wp:anchor>
        </w:drawing>
      </w:r>
      <w:r>
        <w:rPr/>
        <w:t>Sari, N., Prasetyo, A., &amp; Wibowo, H. (2020). Karakteristik permukiman pesisir dan implikasinya</w:t>
      </w:r>
      <w:r>
        <w:rPr>
          <w:spacing w:val="-7"/>
        </w:rPr>
        <w:t> </w:t>
      </w:r>
      <w:r>
        <w:rPr/>
        <w:t>terhadap</w:t>
      </w:r>
      <w:r>
        <w:rPr>
          <w:spacing w:val="-8"/>
        </w:rPr>
        <w:t> </w:t>
      </w:r>
      <w:r>
        <w:rPr/>
        <w:t>kualitas</w:t>
      </w:r>
      <w:r>
        <w:rPr>
          <w:spacing w:val="-7"/>
        </w:rPr>
        <w:t> </w:t>
      </w:r>
      <w:r>
        <w:rPr/>
        <w:t>hunian</w:t>
      </w:r>
      <w:r>
        <w:rPr>
          <w:spacing w:val="-8"/>
        </w:rPr>
        <w:t> </w:t>
      </w:r>
      <w:r>
        <w:rPr/>
        <w:t>di</w:t>
      </w:r>
      <w:r>
        <w:rPr>
          <w:spacing w:val="-5"/>
        </w:rPr>
        <w:t> </w:t>
      </w:r>
      <w:r>
        <w:rPr/>
        <w:t>Kota Surabaya. </w:t>
      </w:r>
      <w:r>
        <w:rPr>
          <w:i/>
        </w:rPr>
        <w:t>Jurnal Permukiman</w:t>
      </w:r>
      <w:r>
        <w:rPr/>
        <w:t>, </w:t>
      </w:r>
      <w:r>
        <w:rPr>
          <w:i/>
        </w:rPr>
        <w:t>15</w:t>
      </w:r>
      <w:r>
        <w:rPr/>
        <w:t>(2), 75–88.</w:t>
      </w:r>
    </w:p>
    <w:sectPr>
      <w:pgSz w:w="11910" w:h="16830"/>
      <w:pgMar w:header="442" w:footer="729" w:top="1300" w:bottom="920" w:left="1133"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184384">
              <wp:simplePos x="0" y="0"/>
              <wp:positionH relativeFrom="page">
                <wp:posOffset>3724275</wp:posOffset>
              </wp:positionH>
              <wp:positionV relativeFrom="page">
                <wp:posOffset>10065560</wp:posOffset>
              </wp:positionV>
              <wp:extent cx="152400"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2400" cy="166370"/>
                      </a:xfrm>
                      <a:prstGeom prst="rect">
                        <a:avLst/>
                      </a:prstGeom>
                    </wps:spPr>
                    <wps:txbx>
                      <w:txbxContent>
                        <w:p>
                          <w:pPr>
                            <w:pStyle w:val="BodyText"/>
                            <w:spacing w:before="11"/>
                            <w:ind w:left="60"/>
                            <w:jc w:val="left"/>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25pt;margin-top:792.563843pt;width:12pt;height:13.1pt;mso-position-horizontal-relative:page;mso-position-vertical-relative:page;z-index:-16132096" type="#_x0000_t202" id="docshape1" filled="false" stroked="false">
              <v:textbox inset="0,0,0,0">
                <w:txbxContent>
                  <w:p>
                    <w:pPr>
                      <w:pStyle w:val="BodyText"/>
                      <w:spacing w:before="11"/>
                      <w:ind w:left="60"/>
                      <w:jc w:val="left"/>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185408">
              <wp:simplePos x="0" y="0"/>
              <wp:positionH relativeFrom="page">
                <wp:posOffset>3711575</wp:posOffset>
              </wp:positionH>
              <wp:positionV relativeFrom="page">
                <wp:posOffset>10084610</wp:posOffset>
              </wp:positionV>
              <wp:extent cx="152400"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2400" cy="166370"/>
                      </a:xfrm>
                      <a:prstGeom prst="rect">
                        <a:avLst/>
                      </a:prstGeom>
                    </wps:spPr>
                    <wps:txbx>
                      <w:txbxContent>
                        <w:p>
                          <w:pPr>
                            <w:pStyle w:val="BodyText"/>
                            <w:spacing w:before="11"/>
                            <w:ind w:left="6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292.25pt;margin-top:794.063843pt;width:12pt;height:13.1pt;mso-position-horizontal-relative:page;mso-position-vertical-relative:page;z-index:-16131072" type="#_x0000_t202" id="docshape3" filled="false" stroked="false">
              <v:textbox inset="0,0,0,0">
                <w:txbxContent>
                  <w:p>
                    <w:pPr>
                      <w:pStyle w:val="BodyText"/>
                      <w:spacing w:before="11"/>
                      <w:ind w:left="6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184896">
              <wp:simplePos x="0" y="0"/>
              <wp:positionH relativeFrom="page">
                <wp:posOffset>889635</wp:posOffset>
              </wp:positionH>
              <wp:positionV relativeFrom="page">
                <wp:posOffset>268209</wp:posOffset>
              </wp:positionV>
              <wp:extent cx="5282565" cy="31242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82565" cy="312420"/>
                      </a:xfrm>
                      <a:prstGeom prst="rect">
                        <a:avLst/>
                      </a:prstGeom>
                    </wps:spPr>
                    <wps:txbx>
                      <w:txbxContent>
                        <w:p>
                          <w:pPr>
                            <w:spacing w:before="11"/>
                            <w:ind w:left="20" w:right="18" w:firstLine="841"/>
                            <w:jc w:val="left"/>
                            <w:rPr>
                              <w:i/>
                              <w:sz w:val="20"/>
                            </w:rPr>
                          </w:pPr>
                          <w:r>
                            <w:rPr>
                              <w:i/>
                              <w:sz w:val="20"/>
                            </w:rPr>
                            <w:t>PERSEPSI</w:t>
                          </w:r>
                          <w:r>
                            <w:rPr>
                              <w:i/>
                              <w:spacing w:val="-13"/>
                              <w:sz w:val="20"/>
                            </w:rPr>
                            <w:t> </w:t>
                          </w:r>
                          <w:r>
                            <w:rPr>
                              <w:i/>
                              <w:sz w:val="20"/>
                            </w:rPr>
                            <w:t>MASYARAKAT</w:t>
                          </w:r>
                          <w:r>
                            <w:rPr>
                              <w:i/>
                              <w:spacing w:val="-12"/>
                              <w:sz w:val="20"/>
                            </w:rPr>
                            <w:t> </w:t>
                          </w:r>
                          <w:r>
                            <w:rPr>
                              <w:i/>
                              <w:sz w:val="20"/>
                            </w:rPr>
                            <w:t>PENERIMA</w:t>
                          </w:r>
                          <w:r>
                            <w:rPr>
                              <w:i/>
                              <w:spacing w:val="-13"/>
                              <w:sz w:val="20"/>
                            </w:rPr>
                            <w:t> </w:t>
                          </w:r>
                          <w:r>
                            <w:rPr>
                              <w:i/>
                              <w:sz w:val="20"/>
                            </w:rPr>
                            <w:t>MANFAAT</w:t>
                          </w:r>
                          <w:r>
                            <w:rPr>
                              <w:i/>
                              <w:spacing w:val="-12"/>
                              <w:sz w:val="20"/>
                            </w:rPr>
                            <w:t> </w:t>
                          </w:r>
                          <w:r>
                            <w:rPr>
                              <w:i/>
                              <w:sz w:val="20"/>
                            </w:rPr>
                            <w:t>PROGRAMPERBAIKANRUMAHTIDAK </w:t>
                          </w:r>
                          <w:r>
                            <w:rPr>
                              <w:i/>
                              <w:spacing w:val="-8"/>
                              <w:sz w:val="20"/>
                            </w:rPr>
                            <w:t>LAYAKHUNI</w:t>
                          </w:r>
                          <w:r>
                            <w:rPr>
                              <w:i/>
                              <w:spacing w:val="-13"/>
                              <w:sz w:val="20"/>
                            </w:rPr>
                            <w:t> </w:t>
                          </w:r>
                          <w:r>
                            <w:rPr>
                              <w:i/>
                              <w:spacing w:val="-8"/>
                              <w:sz w:val="20"/>
                            </w:rPr>
                            <w:t>DI</w:t>
                          </w:r>
                          <w:r>
                            <w:rPr>
                              <w:i/>
                              <w:spacing w:val="-13"/>
                              <w:sz w:val="20"/>
                            </w:rPr>
                            <w:t> </w:t>
                          </w:r>
                          <w:r>
                            <w:rPr>
                              <w:i/>
                              <w:spacing w:val="-8"/>
                              <w:sz w:val="20"/>
                            </w:rPr>
                            <w:t>KELURAHANGENTENGDANKELURAHANTANAHKALI</w:t>
                          </w:r>
                          <w:r>
                            <w:rPr>
                              <w:i/>
                              <w:spacing w:val="37"/>
                              <w:sz w:val="20"/>
                            </w:rPr>
                            <w:t> </w:t>
                          </w:r>
                          <w:r>
                            <w:rPr>
                              <w:i/>
                              <w:spacing w:val="-8"/>
                              <w:sz w:val="20"/>
                            </w:rPr>
                            <w:t>KEDINDING,</w:t>
                          </w:r>
                          <w:r>
                            <w:rPr>
                              <w:i/>
                              <w:spacing w:val="-17"/>
                              <w:sz w:val="20"/>
                            </w:rPr>
                            <w:t> </w:t>
                          </w:r>
                          <w:r>
                            <w:rPr>
                              <w:i/>
                              <w:spacing w:val="-8"/>
                              <w:sz w:val="20"/>
                            </w:rPr>
                            <w:t>KOTASURABAYA</w:t>
                          </w:r>
                        </w:p>
                      </w:txbxContent>
                    </wps:txbx>
                    <wps:bodyPr wrap="square" lIns="0" tIns="0" rIns="0" bIns="0" rtlCol="0">
                      <a:noAutofit/>
                    </wps:bodyPr>
                  </wps:wsp>
                </a:graphicData>
              </a:graphic>
            </wp:anchor>
          </w:drawing>
        </mc:Choice>
        <mc:Fallback>
          <w:pict>
            <v:shape style="position:absolute;margin-left:70.050003pt;margin-top:21.118868pt;width:415.95pt;height:24.6pt;mso-position-horizontal-relative:page;mso-position-vertical-relative:page;z-index:-16131584" type="#_x0000_t202" id="docshape2" filled="false" stroked="false">
              <v:textbox inset="0,0,0,0">
                <w:txbxContent>
                  <w:p>
                    <w:pPr>
                      <w:spacing w:before="11"/>
                      <w:ind w:left="20" w:right="18" w:firstLine="841"/>
                      <w:jc w:val="left"/>
                      <w:rPr>
                        <w:i/>
                        <w:sz w:val="20"/>
                      </w:rPr>
                    </w:pPr>
                    <w:r>
                      <w:rPr>
                        <w:i/>
                        <w:sz w:val="20"/>
                      </w:rPr>
                      <w:t>PERSEPSI</w:t>
                    </w:r>
                    <w:r>
                      <w:rPr>
                        <w:i/>
                        <w:spacing w:val="-13"/>
                        <w:sz w:val="20"/>
                      </w:rPr>
                      <w:t> </w:t>
                    </w:r>
                    <w:r>
                      <w:rPr>
                        <w:i/>
                        <w:sz w:val="20"/>
                      </w:rPr>
                      <w:t>MASYARAKAT</w:t>
                    </w:r>
                    <w:r>
                      <w:rPr>
                        <w:i/>
                        <w:spacing w:val="-12"/>
                        <w:sz w:val="20"/>
                      </w:rPr>
                      <w:t> </w:t>
                    </w:r>
                    <w:r>
                      <w:rPr>
                        <w:i/>
                        <w:sz w:val="20"/>
                      </w:rPr>
                      <w:t>PENERIMA</w:t>
                    </w:r>
                    <w:r>
                      <w:rPr>
                        <w:i/>
                        <w:spacing w:val="-13"/>
                        <w:sz w:val="20"/>
                      </w:rPr>
                      <w:t> </w:t>
                    </w:r>
                    <w:r>
                      <w:rPr>
                        <w:i/>
                        <w:sz w:val="20"/>
                      </w:rPr>
                      <w:t>MANFAAT</w:t>
                    </w:r>
                    <w:r>
                      <w:rPr>
                        <w:i/>
                        <w:spacing w:val="-12"/>
                        <w:sz w:val="20"/>
                      </w:rPr>
                      <w:t> </w:t>
                    </w:r>
                    <w:r>
                      <w:rPr>
                        <w:i/>
                        <w:sz w:val="20"/>
                      </w:rPr>
                      <w:t>PROGRAMPERBAIKANRUMAHTIDAK </w:t>
                    </w:r>
                    <w:r>
                      <w:rPr>
                        <w:i/>
                        <w:spacing w:val="-8"/>
                        <w:sz w:val="20"/>
                      </w:rPr>
                      <w:t>LAYAKHUNI</w:t>
                    </w:r>
                    <w:r>
                      <w:rPr>
                        <w:i/>
                        <w:spacing w:val="-13"/>
                        <w:sz w:val="20"/>
                      </w:rPr>
                      <w:t> </w:t>
                    </w:r>
                    <w:r>
                      <w:rPr>
                        <w:i/>
                        <w:spacing w:val="-8"/>
                        <w:sz w:val="20"/>
                      </w:rPr>
                      <w:t>DI</w:t>
                    </w:r>
                    <w:r>
                      <w:rPr>
                        <w:i/>
                        <w:spacing w:val="-13"/>
                        <w:sz w:val="20"/>
                      </w:rPr>
                      <w:t> </w:t>
                    </w:r>
                    <w:r>
                      <w:rPr>
                        <w:i/>
                        <w:spacing w:val="-8"/>
                        <w:sz w:val="20"/>
                      </w:rPr>
                      <w:t>KELURAHANGENTENGDANKELURAHANTANAHKALI</w:t>
                    </w:r>
                    <w:r>
                      <w:rPr>
                        <w:i/>
                        <w:spacing w:val="37"/>
                        <w:sz w:val="20"/>
                      </w:rPr>
                      <w:t> </w:t>
                    </w:r>
                    <w:r>
                      <w:rPr>
                        <w:i/>
                        <w:spacing w:val="-8"/>
                        <w:sz w:val="20"/>
                      </w:rPr>
                      <w:t>KEDINDING,</w:t>
                    </w:r>
                    <w:r>
                      <w:rPr>
                        <w:i/>
                        <w:spacing w:val="-17"/>
                        <w:sz w:val="20"/>
                      </w:rPr>
                      <w:t> </w:t>
                    </w:r>
                    <w:r>
                      <w:rPr>
                        <w:i/>
                        <w:spacing w:val="-8"/>
                        <w:sz w:val="20"/>
                      </w:rPr>
                      <w:t>KOTASURABAYA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88" w:hanging="361"/>
        <w:jc w:val="left"/>
      </w:pPr>
      <w:rPr>
        <w:rFonts w:hint="default" w:ascii="Times New Roman" w:hAnsi="Times New Roman" w:eastAsia="Times New Roman" w:cs="Times New Roman"/>
        <w:b/>
        <w:bCs/>
        <w:i w:val="0"/>
        <w:iCs w:val="0"/>
        <w:spacing w:val="0"/>
        <w:w w:val="100"/>
        <w:sz w:val="20"/>
        <w:szCs w:val="20"/>
        <w:lang w:val="id" w:eastAsia="en-US" w:bidi="ar-SA"/>
      </w:rPr>
    </w:lvl>
    <w:lvl w:ilvl="1">
      <w:start w:val="0"/>
      <w:numFmt w:val="bullet"/>
      <w:lvlText w:val="•"/>
      <w:lvlJc w:val="left"/>
      <w:pPr>
        <w:ind w:left="901" w:hanging="361"/>
      </w:pPr>
      <w:rPr>
        <w:rFonts w:hint="default"/>
        <w:lang w:val="id" w:eastAsia="en-US" w:bidi="ar-SA"/>
      </w:rPr>
    </w:lvl>
    <w:lvl w:ilvl="2">
      <w:start w:val="0"/>
      <w:numFmt w:val="bullet"/>
      <w:lvlText w:val="•"/>
      <w:lvlJc w:val="left"/>
      <w:pPr>
        <w:ind w:left="1322" w:hanging="361"/>
      </w:pPr>
      <w:rPr>
        <w:rFonts w:hint="default"/>
        <w:lang w:val="id" w:eastAsia="en-US" w:bidi="ar-SA"/>
      </w:rPr>
    </w:lvl>
    <w:lvl w:ilvl="3">
      <w:start w:val="0"/>
      <w:numFmt w:val="bullet"/>
      <w:lvlText w:val="•"/>
      <w:lvlJc w:val="left"/>
      <w:pPr>
        <w:ind w:left="1743" w:hanging="361"/>
      </w:pPr>
      <w:rPr>
        <w:rFonts w:hint="default"/>
        <w:lang w:val="id" w:eastAsia="en-US" w:bidi="ar-SA"/>
      </w:rPr>
    </w:lvl>
    <w:lvl w:ilvl="4">
      <w:start w:val="0"/>
      <w:numFmt w:val="bullet"/>
      <w:lvlText w:val="•"/>
      <w:lvlJc w:val="left"/>
      <w:pPr>
        <w:ind w:left="2164" w:hanging="361"/>
      </w:pPr>
      <w:rPr>
        <w:rFonts w:hint="default"/>
        <w:lang w:val="id" w:eastAsia="en-US" w:bidi="ar-SA"/>
      </w:rPr>
    </w:lvl>
    <w:lvl w:ilvl="5">
      <w:start w:val="0"/>
      <w:numFmt w:val="bullet"/>
      <w:lvlText w:val="•"/>
      <w:lvlJc w:val="left"/>
      <w:pPr>
        <w:ind w:left="2585" w:hanging="361"/>
      </w:pPr>
      <w:rPr>
        <w:rFonts w:hint="default"/>
        <w:lang w:val="id" w:eastAsia="en-US" w:bidi="ar-SA"/>
      </w:rPr>
    </w:lvl>
    <w:lvl w:ilvl="6">
      <w:start w:val="0"/>
      <w:numFmt w:val="bullet"/>
      <w:lvlText w:val="•"/>
      <w:lvlJc w:val="left"/>
      <w:pPr>
        <w:ind w:left="3006" w:hanging="361"/>
      </w:pPr>
      <w:rPr>
        <w:rFonts w:hint="default"/>
        <w:lang w:val="id" w:eastAsia="en-US" w:bidi="ar-SA"/>
      </w:rPr>
    </w:lvl>
    <w:lvl w:ilvl="7">
      <w:start w:val="0"/>
      <w:numFmt w:val="bullet"/>
      <w:lvlText w:val="•"/>
      <w:lvlJc w:val="left"/>
      <w:pPr>
        <w:ind w:left="3427" w:hanging="361"/>
      </w:pPr>
      <w:rPr>
        <w:rFonts w:hint="default"/>
        <w:lang w:val="id" w:eastAsia="en-US" w:bidi="ar-SA"/>
      </w:rPr>
    </w:lvl>
    <w:lvl w:ilvl="8">
      <w:start w:val="0"/>
      <w:numFmt w:val="bullet"/>
      <w:lvlText w:val="•"/>
      <w:lvlJc w:val="left"/>
      <w:pPr>
        <w:ind w:left="3848" w:hanging="361"/>
      </w:pPr>
      <w:rPr>
        <w:rFonts w:hint="default"/>
        <w:lang w:val="id" w:eastAsia="en-US" w:bidi="ar-SA"/>
      </w:rPr>
    </w:lvl>
  </w:abstractNum>
  <w:abstractNum w:abstractNumId="1">
    <w:multiLevelType w:val="hybridMultilevel"/>
    <w:lvl w:ilvl="0">
      <w:start w:val="1"/>
      <w:numFmt w:val="decimal"/>
      <w:lvlText w:val="%1."/>
      <w:lvlJc w:val="left"/>
      <w:pPr>
        <w:ind w:left="488" w:hanging="361"/>
        <w:jc w:val="left"/>
      </w:pPr>
      <w:rPr>
        <w:rFonts w:hint="default" w:ascii="Times New Roman" w:hAnsi="Times New Roman" w:eastAsia="Times New Roman" w:cs="Times New Roman"/>
        <w:b w:val="0"/>
        <w:bCs w:val="0"/>
        <w:i w:val="0"/>
        <w:iCs w:val="0"/>
        <w:spacing w:val="0"/>
        <w:w w:val="100"/>
        <w:sz w:val="20"/>
        <w:szCs w:val="20"/>
        <w:lang w:val="id" w:eastAsia="en-US" w:bidi="ar-SA"/>
      </w:rPr>
    </w:lvl>
    <w:lvl w:ilvl="1">
      <w:start w:val="0"/>
      <w:numFmt w:val="bullet"/>
      <w:lvlText w:val="•"/>
      <w:lvlJc w:val="left"/>
      <w:pPr>
        <w:ind w:left="924" w:hanging="361"/>
      </w:pPr>
      <w:rPr>
        <w:rFonts w:hint="default"/>
        <w:lang w:val="id" w:eastAsia="en-US" w:bidi="ar-SA"/>
      </w:rPr>
    </w:lvl>
    <w:lvl w:ilvl="2">
      <w:start w:val="0"/>
      <w:numFmt w:val="bullet"/>
      <w:lvlText w:val="•"/>
      <w:lvlJc w:val="left"/>
      <w:pPr>
        <w:ind w:left="1368" w:hanging="361"/>
      </w:pPr>
      <w:rPr>
        <w:rFonts w:hint="default"/>
        <w:lang w:val="id" w:eastAsia="en-US" w:bidi="ar-SA"/>
      </w:rPr>
    </w:lvl>
    <w:lvl w:ilvl="3">
      <w:start w:val="0"/>
      <w:numFmt w:val="bullet"/>
      <w:lvlText w:val="•"/>
      <w:lvlJc w:val="left"/>
      <w:pPr>
        <w:ind w:left="1812" w:hanging="361"/>
      </w:pPr>
      <w:rPr>
        <w:rFonts w:hint="default"/>
        <w:lang w:val="id" w:eastAsia="en-US" w:bidi="ar-SA"/>
      </w:rPr>
    </w:lvl>
    <w:lvl w:ilvl="4">
      <w:start w:val="0"/>
      <w:numFmt w:val="bullet"/>
      <w:lvlText w:val="•"/>
      <w:lvlJc w:val="left"/>
      <w:pPr>
        <w:ind w:left="2257" w:hanging="361"/>
      </w:pPr>
      <w:rPr>
        <w:rFonts w:hint="default"/>
        <w:lang w:val="id" w:eastAsia="en-US" w:bidi="ar-SA"/>
      </w:rPr>
    </w:lvl>
    <w:lvl w:ilvl="5">
      <w:start w:val="0"/>
      <w:numFmt w:val="bullet"/>
      <w:lvlText w:val="•"/>
      <w:lvlJc w:val="left"/>
      <w:pPr>
        <w:ind w:left="2701" w:hanging="361"/>
      </w:pPr>
      <w:rPr>
        <w:rFonts w:hint="default"/>
        <w:lang w:val="id" w:eastAsia="en-US" w:bidi="ar-SA"/>
      </w:rPr>
    </w:lvl>
    <w:lvl w:ilvl="6">
      <w:start w:val="0"/>
      <w:numFmt w:val="bullet"/>
      <w:lvlText w:val="•"/>
      <w:lvlJc w:val="left"/>
      <w:pPr>
        <w:ind w:left="3145" w:hanging="361"/>
      </w:pPr>
      <w:rPr>
        <w:rFonts w:hint="default"/>
        <w:lang w:val="id" w:eastAsia="en-US" w:bidi="ar-SA"/>
      </w:rPr>
    </w:lvl>
    <w:lvl w:ilvl="7">
      <w:start w:val="0"/>
      <w:numFmt w:val="bullet"/>
      <w:lvlText w:val="•"/>
      <w:lvlJc w:val="left"/>
      <w:pPr>
        <w:ind w:left="3590" w:hanging="361"/>
      </w:pPr>
      <w:rPr>
        <w:rFonts w:hint="default"/>
        <w:lang w:val="id" w:eastAsia="en-US" w:bidi="ar-SA"/>
      </w:rPr>
    </w:lvl>
    <w:lvl w:ilvl="8">
      <w:start w:val="0"/>
      <w:numFmt w:val="bullet"/>
      <w:lvlText w:val="•"/>
      <w:lvlJc w:val="left"/>
      <w:pPr>
        <w:ind w:left="4034" w:hanging="361"/>
      </w:pPr>
      <w:rPr>
        <w:rFonts w:hint="default"/>
        <w:lang w:val="id" w:eastAsia="en-US" w:bidi="ar-SA"/>
      </w:rPr>
    </w:lvl>
  </w:abstractNum>
  <w:abstractNum w:abstractNumId="0">
    <w:multiLevelType w:val="hybridMultilevel"/>
    <w:lvl w:ilvl="0">
      <w:start w:val="1"/>
      <w:numFmt w:val="decimal"/>
      <w:lvlText w:val="%1."/>
      <w:lvlJc w:val="left"/>
      <w:pPr>
        <w:ind w:left="328" w:hanging="200"/>
        <w:jc w:val="left"/>
      </w:pPr>
      <w:rPr>
        <w:rFonts w:hint="default" w:ascii="Times New Roman" w:hAnsi="Times New Roman" w:eastAsia="Times New Roman" w:cs="Times New Roman"/>
        <w:b/>
        <w:bCs/>
        <w:i w:val="0"/>
        <w:iCs w:val="0"/>
        <w:spacing w:val="0"/>
        <w:w w:val="88"/>
        <w:sz w:val="20"/>
        <w:szCs w:val="20"/>
        <w:lang w:val="id" w:eastAsia="en-US" w:bidi="ar-SA"/>
      </w:rPr>
    </w:lvl>
    <w:lvl w:ilvl="1">
      <w:start w:val="1"/>
      <w:numFmt w:val="lowerLetter"/>
      <w:lvlText w:val="%2."/>
      <w:lvlJc w:val="left"/>
      <w:pPr>
        <w:ind w:left="328" w:hanging="200"/>
        <w:jc w:val="left"/>
      </w:pPr>
      <w:rPr>
        <w:rFonts w:hint="default" w:ascii="Times New Roman" w:hAnsi="Times New Roman" w:eastAsia="Times New Roman" w:cs="Times New Roman"/>
        <w:b/>
        <w:bCs/>
        <w:i w:val="0"/>
        <w:iCs w:val="0"/>
        <w:spacing w:val="0"/>
        <w:w w:val="88"/>
        <w:sz w:val="20"/>
        <w:szCs w:val="20"/>
        <w:lang w:val="id" w:eastAsia="en-US" w:bidi="ar-SA"/>
      </w:rPr>
    </w:lvl>
    <w:lvl w:ilvl="2">
      <w:start w:val="0"/>
      <w:numFmt w:val="bullet"/>
      <w:lvlText w:val="•"/>
      <w:lvlJc w:val="left"/>
      <w:pPr>
        <w:ind w:left="243" w:hanging="200"/>
      </w:pPr>
      <w:rPr>
        <w:rFonts w:hint="default"/>
        <w:lang w:val="id" w:eastAsia="en-US" w:bidi="ar-SA"/>
      </w:rPr>
    </w:lvl>
    <w:lvl w:ilvl="3">
      <w:start w:val="0"/>
      <w:numFmt w:val="bullet"/>
      <w:lvlText w:val="•"/>
      <w:lvlJc w:val="left"/>
      <w:pPr>
        <w:ind w:left="167" w:hanging="200"/>
      </w:pPr>
      <w:rPr>
        <w:rFonts w:hint="default"/>
        <w:lang w:val="id" w:eastAsia="en-US" w:bidi="ar-SA"/>
      </w:rPr>
    </w:lvl>
    <w:lvl w:ilvl="4">
      <w:start w:val="0"/>
      <w:numFmt w:val="bullet"/>
      <w:lvlText w:val="•"/>
      <w:lvlJc w:val="left"/>
      <w:pPr>
        <w:ind w:left="91" w:hanging="200"/>
      </w:pPr>
      <w:rPr>
        <w:rFonts w:hint="default"/>
        <w:lang w:val="id" w:eastAsia="en-US" w:bidi="ar-SA"/>
      </w:rPr>
    </w:lvl>
    <w:lvl w:ilvl="5">
      <w:start w:val="0"/>
      <w:numFmt w:val="bullet"/>
      <w:lvlText w:val="•"/>
      <w:lvlJc w:val="left"/>
      <w:pPr>
        <w:ind w:left="15" w:hanging="200"/>
      </w:pPr>
      <w:rPr>
        <w:rFonts w:hint="default"/>
        <w:lang w:val="id" w:eastAsia="en-US" w:bidi="ar-SA"/>
      </w:rPr>
    </w:lvl>
    <w:lvl w:ilvl="6">
      <w:start w:val="0"/>
      <w:numFmt w:val="bullet"/>
      <w:lvlText w:val="•"/>
      <w:lvlJc w:val="left"/>
      <w:pPr>
        <w:ind w:left="-61" w:hanging="200"/>
      </w:pPr>
      <w:rPr>
        <w:rFonts w:hint="default"/>
        <w:lang w:val="id" w:eastAsia="en-US" w:bidi="ar-SA"/>
      </w:rPr>
    </w:lvl>
    <w:lvl w:ilvl="7">
      <w:start w:val="0"/>
      <w:numFmt w:val="bullet"/>
      <w:lvlText w:val="•"/>
      <w:lvlJc w:val="left"/>
      <w:pPr>
        <w:ind w:left="-137" w:hanging="200"/>
      </w:pPr>
      <w:rPr>
        <w:rFonts w:hint="default"/>
        <w:lang w:val="id" w:eastAsia="en-US" w:bidi="ar-SA"/>
      </w:rPr>
    </w:lvl>
    <w:lvl w:ilvl="8">
      <w:start w:val="0"/>
      <w:numFmt w:val="bullet"/>
      <w:lvlText w:val="•"/>
      <w:lvlJc w:val="left"/>
      <w:pPr>
        <w:ind w:left="-213" w:hanging="200"/>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spacing w:before="81"/>
      <w:ind w:left="127"/>
      <w:outlineLvl w:val="1"/>
    </w:pPr>
    <w:rPr>
      <w:rFonts w:ascii="Times New Roman" w:hAnsi="Times New Roman" w:eastAsia="Times New Roman" w:cs="Times New Roman"/>
      <w:b/>
      <w:bCs/>
      <w:sz w:val="20"/>
      <w:szCs w:val="20"/>
      <w:lang w:val="id" w:eastAsia="en-US" w:bidi="ar-SA"/>
    </w:rPr>
  </w:style>
  <w:style w:styleId="Heading2" w:type="paragraph">
    <w:name w:val="Heading 2"/>
    <w:basedOn w:val="Normal"/>
    <w:uiPriority w:val="1"/>
    <w:qFormat/>
    <w:pPr>
      <w:ind w:left="326"/>
      <w:outlineLvl w:val="2"/>
    </w:pPr>
    <w:rPr>
      <w:rFonts w:ascii="Times New Roman" w:hAnsi="Times New Roman" w:eastAsia="Times New Roman" w:cs="Times New Roman"/>
      <w:b/>
      <w:bCs/>
      <w:sz w:val="20"/>
      <w:szCs w:val="20"/>
      <w:lang w:val="id" w:eastAsia="en-US" w:bidi="ar-SA"/>
    </w:rPr>
  </w:style>
  <w:style w:styleId="ListParagraph" w:type="paragraph">
    <w:name w:val="List Paragraph"/>
    <w:basedOn w:val="Normal"/>
    <w:uiPriority w:val="1"/>
    <w:qFormat/>
    <w:pPr>
      <w:ind w:left="326" w:hanging="199"/>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226" w:lineRule="exact"/>
      <w:ind w:left="50"/>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hyperlink" Target="https://surabayakota.bps.go.id/id/publication/2024/09/26/a35a68c34f07cda587c5798c/keca" TargetMode="External"/><Relationship Id="rId15" Type="http://schemas.openxmlformats.org/officeDocument/2006/relationships/hyperlink" Target="https://doi.org/10.37253/jad.v6i2.11234"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ZUHROTUL JAMILAH</dc:creator>
  <cp:keywords>Devy Ainur</cp:keywords>
  <dc:title>Paper Title (use style: paper title)</dc:title>
  <dcterms:created xsi:type="dcterms:W3CDTF">2026-08-07T06:03:30Z</dcterms:created>
  <dcterms:modified xsi:type="dcterms:W3CDTF">2026-08-07T06:03:30Z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2026-07-31T00:00:00Z</vt:filetime>
  </property>
  <property fmtid="{D5CDD505-2E9C-101B-9397-08002B2CF9AE}" pid="4" name="Creator">
    <vt:lpwstr>Microsoft® Word 2021</vt:lpwstr>
  </property>
  <property fmtid="{D5CDD505-2E9C-101B-9397-08002B2CF9AE}" pid="5" name="LastSaved">
    <vt:filetime>2026-08-07T00:00:00Z</vt:filetime>
  </property>
  <property fmtid="{D5CDD505-2E9C-101B-9397-08002B2CF9AE}" pid="6" name="Producer">
    <vt:lpwstr>Microsoft® Word 2021</vt:lpwstr>
  </property>
</Properties>
</file>